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28"/>
        </w:rPr>
      </w:pPr>
      <w:r>
        <w:rPr>
          <w:rFonts w:hint="eastAsia" w:ascii="黑体" w:hAnsi="黑体" w:eastAsia="黑体" w:cs="黑体"/>
          <w:b/>
          <w:color w:val="000000"/>
          <w:sz w:val="52"/>
          <w:szCs w:val="52"/>
          <w:lang w:val="en-US" w:eastAsia="zh-CN"/>
        </w:rPr>
        <w:t>2022年应急成品粮油保障能力提升设备采购</w:t>
      </w:r>
    </w:p>
    <w:p>
      <w:pPr>
        <w:rPr>
          <w:rFonts w:ascii="黑体" w:hAnsi="黑体" w:eastAsia="黑体" w:cs="黑体"/>
          <w:b/>
          <w:color w:val="000000"/>
          <w:sz w:val="2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bookmarkStart w:id="22" w:name="_GoBack"/>
      <w:bookmarkEnd w:id="22"/>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合江城区国家粮食储备库有限公司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4</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4"/>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4"/>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4"/>
        <w:bidi w:val="0"/>
        <w:jc w:val="center"/>
      </w:pPr>
      <w:bookmarkStart w:id="0" w:name="_Hlt101233737"/>
      <w:bookmarkEnd w:id="0"/>
      <w:bookmarkStart w:id="1" w:name="_Hlt10184362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合江城区国家粮食储备库有限公司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 xml:space="preserve"> 2022年应急成品粮油保障能力提升设备采购采购</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ind w:firstLine="420" w:firstLineChars="200"/>
        <w:jc w:val="both"/>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2022年应急成品粮油保障能力提升设备采购采购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 xml:space="preserve">采购叉车及托盘。暂估价251540.00元　  </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spacing w:line="336" w:lineRule="auto"/>
        <w:ind w:firstLine="420" w:firstLineChars="200"/>
        <w:rPr>
          <w:rFonts w:hint="default"/>
          <w:color w:val="000000"/>
          <w:szCs w:val="21"/>
          <w:lang w:val="en-US" w:eastAsia="zh-CN"/>
        </w:rPr>
      </w:pPr>
      <w:r>
        <w:rPr>
          <w:rFonts w:hint="eastAsia"/>
          <w:color w:val="000000"/>
          <w:szCs w:val="21"/>
          <w:lang w:val="en-US" w:eastAsia="zh-CN"/>
        </w:rPr>
        <w:t>5、质量要求：符合采购人要求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4</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u w:val="single"/>
          <w:lang w:val="en-US" w:eastAsia="zh-CN" w:bidi="ar"/>
        </w:rPr>
        <w:t xml:space="preserve">   26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合江城区国家粮食储备库有限公司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董先生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18008241709</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招采机构：泸州阜阳投资集团有限公司招标采购中心工作组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0830-8831616</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4</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23</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24"/>
          <w:szCs w:val="24"/>
        </w:rPr>
      </w:pPr>
      <w:r>
        <w:rPr>
          <w:rFonts w:hint="eastAsia" w:cs="黑体" w:asciiTheme="minorEastAsia" w:hAnsiTheme="minorEastAsia"/>
          <w:sz w:val="24"/>
          <w:szCs w:val="24"/>
        </w:rPr>
        <w:br w:type="page"/>
      </w:r>
    </w:p>
    <w:p>
      <w:pPr>
        <w:rPr>
          <w:rFonts w:hint="eastAsia" w:cs="黑体" w:asciiTheme="minorEastAsia" w:hAnsiTheme="minorEastAsia"/>
          <w:sz w:val="32"/>
          <w:szCs w:val="32"/>
        </w:rPr>
      </w:pPr>
    </w:p>
    <w:bookmarkEnd w:id="2"/>
    <w:bookmarkEnd w:id="3"/>
    <w:p>
      <w:pPr>
        <w:pStyle w:val="22"/>
        <w:spacing w:line="240" w:lineRule="auto"/>
        <w:ind w:firstLine="420"/>
        <w:rPr>
          <w:szCs w:val="21"/>
        </w:rPr>
      </w:pPr>
      <w:bookmarkStart w:id="5" w:name="_Toc213396759"/>
      <w:bookmarkStart w:id="6" w:name="_Toc213397009"/>
      <w:bookmarkStart w:id="7" w:name="_Toc213396945"/>
      <w:bookmarkStart w:id="8" w:name="_Toc213496267"/>
      <w:bookmarkStart w:id="9" w:name="_Toc217446031"/>
    </w:p>
    <w:p>
      <w:pPr>
        <w:pStyle w:val="4"/>
        <w:keepNext w:val="0"/>
        <w:keepLines w:val="0"/>
        <w:numPr>
          <w:ilvl w:val="0"/>
          <w:numId w:val="1"/>
        </w:numPr>
        <w:spacing w:before="0" w:after="0" w:line="240" w:lineRule="auto"/>
        <w:jc w:val="center"/>
        <w:rPr>
          <w:rFonts w:cs="宋体"/>
          <w:kern w:val="2"/>
          <w:sz w:val="32"/>
          <w:szCs w:val="32"/>
        </w:rPr>
      </w:pPr>
      <w:bookmarkStart w:id="10" w:name="_Toc5869721"/>
      <w:bookmarkStart w:id="11" w:name="_Toc12414"/>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color w:val="000000"/>
                <w:szCs w:val="21"/>
                <w:lang w:val="en-US"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合江城区国家粮食储备库有限公司</w:t>
            </w:r>
          </w:p>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地址： 合江县张湾园区粮油储备库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2022年应急成品粮油保障能力提升设备采购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暂估总价最高限价251540.00元（大写：贰拾伍万壹仟伍佰肆拾元整）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中标金额的10%</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hint="eastAsia" w:asciiTheme="minorEastAsia" w:hAnsiTheme="minorEastAsia" w:eastAsiaTheme="minorEastAsia" w:cstheme="minorEastAsia"/>
          <w:kern w:val="2"/>
          <w:sz w:val="21"/>
          <w:szCs w:val="21"/>
        </w:rPr>
      </w:pPr>
    </w:p>
    <w:p>
      <w:pPr>
        <w:rPr>
          <w:rFonts w:hint="eastAsia"/>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1"/>
        </w:numPr>
        <w:ind w:left="0" w:leftChars="0" w:firstLine="0" w:firstLineChars="0"/>
        <w:jc w:val="center"/>
        <w:rPr>
          <w:rStyle w:val="32"/>
          <w:rFonts w:hint="eastAsia"/>
          <w:sz w:val="32"/>
          <w:szCs w:val="32"/>
          <w:lang w:val="en-US" w:eastAsia="zh-CN"/>
        </w:rPr>
      </w:pPr>
      <w:r>
        <w:br w:type="page"/>
      </w:r>
      <w:bookmarkStart w:id="13" w:name="_Toc324"/>
      <w:r>
        <w:rPr>
          <w:rStyle w:val="32"/>
          <w:rFonts w:hint="eastAsia"/>
          <w:sz w:val="32"/>
          <w:szCs w:val="32"/>
          <w:lang w:val="en-US" w:eastAsia="zh-CN"/>
        </w:rPr>
        <w:t>合同条款及格式</w:t>
      </w:r>
      <w:bookmarkEnd w:id="13"/>
    </w:p>
    <w:p>
      <w:pPr>
        <w:tabs>
          <w:tab w:val="left" w:pos="7665"/>
        </w:tabs>
        <w:jc w:val="center"/>
        <w:outlineLvl w:val="0"/>
        <w:rPr>
          <w:rFonts w:eastAsia="方正小标宋简体"/>
          <w:color w:val="000000"/>
          <w:sz w:val="44"/>
          <w:szCs w:val="44"/>
        </w:rPr>
      </w:pPr>
      <w:r>
        <w:rPr>
          <w:rFonts w:hint="eastAsia" w:hAnsi="宋体" w:cs="宋体"/>
          <w:b/>
          <w:bCs/>
          <w:color w:val="000000"/>
          <w:kern w:val="1"/>
          <w:sz w:val="36"/>
          <w:szCs w:val="36"/>
          <w:lang w:eastAsia="ar-SA"/>
        </w:rPr>
        <w:t>采购合同</w:t>
      </w:r>
      <w:bookmarkStart w:id="14" w:name="_Hlt101846155"/>
      <w:bookmarkEnd w:id="14"/>
    </w:p>
    <w:p>
      <w:pPr>
        <w:spacing w:line="520" w:lineRule="exact"/>
        <w:ind w:firstLine="480" w:firstLineChars="200"/>
        <w:rPr>
          <w:rFonts w:hint="default" w:hAnsi="宋体" w:eastAsiaTheme="minorEastAsia"/>
          <w:sz w:val="24"/>
          <w:lang w:val="en-US" w:eastAsia="zh-CN"/>
        </w:rPr>
      </w:pPr>
      <w:r>
        <w:rPr>
          <w:rFonts w:hAnsi="宋体"/>
          <w:sz w:val="24"/>
        </w:rPr>
        <w:t>合同编号：202</w:t>
      </w:r>
      <w:r>
        <w:rPr>
          <w:rFonts w:hint="eastAsia" w:hAnsi="宋体"/>
          <w:sz w:val="24"/>
          <w:lang w:val="en-US" w:eastAsia="zh-CN"/>
        </w:rPr>
        <w:t>30414B01</w:t>
      </w:r>
    </w:p>
    <w:p>
      <w:pPr>
        <w:spacing w:line="520" w:lineRule="exact"/>
        <w:ind w:firstLine="480" w:firstLineChars="200"/>
        <w:rPr>
          <w:rFonts w:hAnsi="宋体"/>
          <w:sz w:val="24"/>
        </w:rPr>
      </w:pPr>
      <w:r>
        <w:rPr>
          <w:rFonts w:hAnsi="宋体"/>
          <w:sz w:val="24"/>
        </w:rPr>
        <w:t>签订地点：</w:t>
      </w:r>
      <w:r>
        <w:rPr>
          <w:rFonts w:hint="eastAsia" w:hAnsi="宋体"/>
          <w:sz w:val="24"/>
        </w:rPr>
        <w:t>四川</w:t>
      </w:r>
      <w:r>
        <w:rPr>
          <w:rFonts w:hAnsi="宋体"/>
          <w:sz w:val="24"/>
        </w:rPr>
        <w:t>泸州合江</w:t>
      </w:r>
      <w:r>
        <w:rPr>
          <w:rFonts w:hint="eastAsia" w:hAnsi="宋体"/>
          <w:sz w:val="24"/>
        </w:rPr>
        <w:t>县</w:t>
      </w:r>
    </w:p>
    <w:p>
      <w:pPr>
        <w:spacing w:line="520" w:lineRule="exact"/>
        <w:ind w:firstLine="480" w:firstLineChars="200"/>
        <w:rPr>
          <w:rFonts w:hAnsi="宋体"/>
          <w:sz w:val="24"/>
        </w:rPr>
      </w:pPr>
      <w:r>
        <w:rPr>
          <w:rFonts w:hAnsi="宋体"/>
          <w:sz w:val="24"/>
        </w:rPr>
        <w:t>签订时间：</w:t>
      </w:r>
      <w:r>
        <w:rPr>
          <w:rFonts w:hint="eastAsia" w:hAnsi="宋体"/>
          <w:sz w:val="24"/>
        </w:rPr>
        <w:t>202</w:t>
      </w:r>
      <w:r>
        <w:rPr>
          <w:rFonts w:hint="eastAsia" w:hAnsi="宋体"/>
          <w:sz w:val="24"/>
          <w:lang w:val="en-US" w:eastAsia="zh-CN"/>
        </w:rPr>
        <w:t>3</w:t>
      </w:r>
      <w:r>
        <w:rPr>
          <w:rFonts w:hAnsi="宋体"/>
          <w:sz w:val="24"/>
        </w:rPr>
        <w:t>年</w:t>
      </w:r>
      <w:r>
        <w:rPr>
          <w:rFonts w:hint="eastAsia" w:hAnsi="宋体"/>
          <w:sz w:val="24"/>
          <w:lang w:val="en-US" w:eastAsia="zh-CN"/>
        </w:rPr>
        <w:t>4</w:t>
      </w:r>
      <w:r>
        <w:rPr>
          <w:rFonts w:hAnsi="宋体"/>
          <w:sz w:val="24"/>
        </w:rPr>
        <w:t>月</w:t>
      </w:r>
      <w:r>
        <w:rPr>
          <w:rFonts w:hint="eastAsia" w:hAnsi="宋体"/>
          <w:sz w:val="24"/>
        </w:rPr>
        <w:t xml:space="preserve">  </w:t>
      </w:r>
      <w:r>
        <w:rPr>
          <w:rFonts w:hAnsi="宋体"/>
          <w:sz w:val="24"/>
        </w:rPr>
        <w:t>日</w:t>
      </w:r>
    </w:p>
    <w:p>
      <w:pPr>
        <w:spacing w:line="520" w:lineRule="exact"/>
        <w:ind w:firstLine="480" w:firstLineChars="200"/>
        <w:rPr>
          <w:rFonts w:hAnsi="宋体"/>
          <w:sz w:val="24"/>
        </w:rPr>
      </w:pPr>
      <w:r>
        <w:rPr>
          <w:rFonts w:hAnsi="宋体"/>
          <w:sz w:val="24"/>
        </w:rPr>
        <w:t>采购人（甲方）：</w:t>
      </w:r>
      <w:r>
        <w:rPr>
          <w:rFonts w:hint="eastAsia" w:hAnsi="宋体"/>
          <w:sz w:val="24"/>
        </w:rPr>
        <w:t>合江城区国家粮食储备库有限公司</w:t>
      </w:r>
      <w:r>
        <w:rPr>
          <w:rFonts w:hAnsi="宋体"/>
          <w:sz w:val="24"/>
        </w:rPr>
        <w:t xml:space="preserve"> </w:t>
      </w:r>
    </w:p>
    <w:p>
      <w:pPr>
        <w:spacing w:line="520" w:lineRule="exact"/>
        <w:ind w:firstLine="480" w:firstLineChars="200"/>
        <w:rPr>
          <w:rFonts w:hAnsi="宋体"/>
          <w:sz w:val="24"/>
        </w:rPr>
      </w:pPr>
      <w:r>
        <w:rPr>
          <w:rFonts w:hAnsi="宋体"/>
          <w:sz w:val="24"/>
        </w:rPr>
        <w:t>供应商（乙方）：</w:t>
      </w:r>
    </w:p>
    <w:p>
      <w:pPr>
        <w:pStyle w:val="6"/>
        <w:numPr>
          <w:ilvl w:val="0"/>
          <w:numId w:val="2"/>
        </w:numPr>
        <w:rPr>
          <w:rFonts w:hint="eastAsia" w:hAnsi="宋体"/>
          <w:color w:val="000000"/>
          <w:sz w:val="24"/>
        </w:rPr>
      </w:pPr>
      <w:r>
        <w:rPr>
          <w:rFonts w:hint="eastAsia" w:hAnsi="宋体"/>
          <w:color w:val="000000"/>
          <w:sz w:val="24"/>
        </w:rPr>
        <w:t>合同货物</w:t>
      </w:r>
    </w:p>
    <w:p>
      <w:pPr>
        <w:numPr>
          <w:ilvl w:val="0"/>
          <w:numId w:val="0"/>
        </w:numPr>
        <w:rPr>
          <w:rFonts w:hint="eastAsia" w:eastAsiaTheme="minorEastAsia"/>
          <w:vertAlign w:val="baseline"/>
          <w:lang w:val="en-US" w:eastAsia="zh-CN"/>
        </w:rPr>
      </w:pPr>
      <w:r>
        <w:rPr>
          <w:rFonts w:hint="eastAsia"/>
          <w:lang w:val="en-US" w:eastAsia="zh-CN"/>
        </w:rPr>
        <w:t xml:space="preserve">     合同货物见采购清单。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3" w:type="dxa"/>
          </w:tcPr>
          <w:p>
            <w:pPr>
              <w:numPr>
                <w:ilvl w:val="0"/>
                <w:numId w:val="0"/>
              </w:numPr>
              <w:rPr>
                <w:rFonts w:hint="eastAsia" w:eastAsiaTheme="minorEastAsia"/>
                <w:vertAlign w:val="baseline"/>
                <w:lang w:val="en-US" w:eastAsia="zh-CN"/>
              </w:rPr>
            </w:pPr>
          </w:p>
        </w:tc>
        <w:tc>
          <w:tcPr>
            <w:tcW w:w="853" w:type="dxa"/>
          </w:tcPr>
          <w:p>
            <w:pPr>
              <w:numPr>
                <w:ilvl w:val="0"/>
                <w:numId w:val="0"/>
              </w:numPr>
              <w:rPr>
                <w:rFonts w:hint="eastAsia"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3" w:type="dxa"/>
          </w:tcPr>
          <w:p>
            <w:pPr>
              <w:numPr>
                <w:ilvl w:val="0"/>
                <w:numId w:val="0"/>
              </w:numPr>
              <w:rPr>
                <w:rFonts w:hint="eastAsia" w:eastAsiaTheme="minorEastAsia"/>
                <w:vertAlign w:val="baseline"/>
                <w:lang w:val="en-US" w:eastAsia="zh-CN"/>
              </w:rPr>
            </w:pPr>
          </w:p>
        </w:tc>
        <w:tc>
          <w:tcPr>
            <w:tcW w:w="853" w:type="dxa"/>
          </w:tcPr>
          <w:p>
            <w:pPr>
              <w:numPr>
                <w:ilvl w:val="0"/>
                <w:numId w:val="0"/>
              </w:numPr>
              <w:rPr>
                <w:rFonts w:hint="eastAsia" w:eastAsiaTheme="minor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2" w:type="dxa"/>
          </w:tcPr>
          <w:p>
            <w:pPr>
              <w:numPr>
                <w:ilvl w:val="0"/>
                <w:numId w:val="0"/>
              </w:numPr>
              <w:rPr>
                <w:rFonts w:hint="eastAsia" w:eastAsiaTheme="minorEastAsia"/>
                <w:vertAlign w:val="baseline"/>
                <w:lang w:val="en-US" w:eastAsia="zh-CN"/>
              </w:rPr>
            </w:pPr>
          </w:p>
        </w:tc>
        <w:tc>
          <w:tcPr>
            <w:tcW w:w="853" w:type="dxa"/>
          </w:tcPr>
          <w:p>
            <w:pPr>
              <w:numPr>
                <w:ilvl w:val="0"/>
                <w:numId w:val="0"/>
              </w:numPr>
              <w:rPr>
                <w:rFonts w:hint="eastAsia" w:eastAsiaTheme="minorEastAsia"/>
                <w:vertAlign w:val="baseline"/>
                <w:lang w:val="en-US" w:eastAsia="zh-CN"/>
              </w:rPr>
            </w:pPr>
          </w:p>
        </w:tc>
        <w:tc>
          <w:tcPr>
            <w:tcW w:w="853" w:type="dxa"/>
          </w:tcPr>
          <w:p>
            <w:pPr>
              <w:numPr>
                <w:ilvl w:val="0"/>
                <w:numId w:val="0"/>
              </w:numPr>
              <w:rPr>
                <w:rFonts w:hint="eastAsia" w:eastAsiaTheme="minorEastAsia"/>
                <w:vertAlign w:val="baseline"/>
                <w:lang w:val="en-US" w:eastAsia="zh-CN"/>
              </w:rPr>
            </w:pPr>
          </w:p>
        </w:tc>
      </w:tr>
    </w:tbl>
    <w:p>
      <w:pPr>
        <w:numPr>
          <w:ilvl w:val="0"/>
          <w:numId w:val="0"/>
        </w:numPr>
        <w:rPr>
          <w:rFonts w:hint="eastAsia" w:eastAsiaTheme="minorEastAsia"/>
          <w:lang w:val="en-US" w:eastAsia="zh-CN"/>
        </w:rPr>
      </w:pPr>
    </w:p>
    <w:p>
      <w:pPr>
        <w:pStyle w:val="6"/>
        <w:rPr>
          <w:rFonts w:hAnsi="宋体"/>
          <w:color w:val="000000"/>
          <w:sz w:val="24"/>
        </w:rPr>
      </w:pPr>
      <w:r>
        <w:rPr>
          <w:rFonts w:hint="eastAsia" w:hAnsi="宋体"/>
          <w:color w:val="000000"/>
          <w:sz w:val="24"/>
        </w:rPr>
        <w:t>二、合同总价</w:t>
      </w:r>
    </w:p>
    <w:p>
      <w:pPr>
        <w:spacing w:line="520" w:lineRule="exact"/>
        <w:ind w:firstLine="480" w:firstLineChars="200"/>
        <w:rPr>
          <w:rFonts w:hint="eastAsia" w:hAnsi="宋体"/>
          <w:color w:val="000000"/>
          <w:sz w:val="24"/>
        </w:rPr>
      </w:pPr>
      <w:r>
        <w:rPr>
          <w:rFonts w:hint="eastAsia" w:hAnsi="宋体"/>
          <w:color w:val="000000"/>
          <w:sz w:val="24"/>
        </w:rPr>
        <w:t>合同总价为人民币大写：</w:t>
      </w:r>
      <w:r>
        <w:rPr>
          <w:rFonts w:hint="eastAsia" w:hAnsi="宋体"/>
          <w:color w:val="000000"/>
          <w:sz w:val="24"/>
          <w:u w:val="single"/>
          <w:lang w:val="en-US" w:eastAsia="zh-CN"/>
        </w:rPr>
        <w:t xml:space="preserve">      </w:t>
      </w:r>
      <w:r>
        <w:rPr>
          <w:rFonts w:hint="eastAsia" w:hAnsi="宋体"/>
          <w:color w:val="000000"/>
          <w:sz w:val="24"/>
          <w:u w:val="single"/>
        </w:rPr>
        <w:t>元整</w:t>
      </w:r>
      <w:r>
        <w:rPr>
          <w:rFonts w:hint="eastAsia" w:hAnsi="宋体"/>
          <w:color w:val="000000"/>
          <w:sz w:val="24"/>
        </w:rPr>
        <w:t>，即</w:t>
      </w:r>
      <w:r>
        <w:rPr>
          <w:rFonts w:hAnsi="宋体"/>
          <w:color w:val="000000"/>
          <w:sz w:val="24"/>
          <w:u w:val="single"/>
        </w:rPr>
        <w:t>RMB</w:t>
      </w:r>
      <w:r>
        <w:rPr>
          <w:rFonts w:hint="eastAsia" w:hAnsi="宋体"/>
          <w:color w:val="000000"/>
          <w:sz w:val="24"/>
          <w:u w:val="single"/>
        </w:rPr>
        <w:t>￥</w:t>
      </w:r>
      <w:r>
        <w:rPr>
          <w:rFonts w:hint="eastAsia" w:hAnsi="宋体"/>
          <w:color w:val="000000"/>
          <w:sz w:val="24"/>
          <w:u w:val="single"/>
          <w:lang w:val="en-US" w:eastAsia="zh-CN"/>
        </w:rPr>
        <w:t xml:space="preserve">    </w:t>
      </w:r>
      <w:r>
        <w:rPr>
          <w:rFonts w:hint="eastAsia" w:hAnsi="宋体"/>
          <w:color w:val="000000"/>
          <w:sz w:val="24"/>
          <w:u w:val="single"/>
        </w:rPr>
        <w:t>元</w:t>
      </w:r>
      <w:r>
        <w:rPr>
          <w:rFonts w:hint="eastAsia" w:hAnsi="宋体"/>
          <w:color w:val="000000"/>
          <w:sz w:val="24"/>
        </w:rPr>
        <w:t>；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spacing w:line="520" w:lineRule="exact"/>
        <w:ind w:firstLine="480" w:firstLineChars="200"/>
        <w:rPr>
          <w:rFonts w:hint="default" w:hAnsi="宋体"/>
          <w:color w:val="000000"/>
          <w:sz w:val="24"/>
          <w:lang w:val="en-US" w:eastAsia="zh-CN"/>
        </w:rPr>
      </w:pPr>
      <w:r>
        <w:rPr>
          <w:rFonts w:hint="eastAsia" w:hAnsi="宋体"/>
          <w:color w:val="000000"/>
          <w:sz w:val="24"/>
          <w:lang w:val="en-US" w:eastAsia="zh-CN"/>
        </w:rPr>
        <w:t>履约保证金：中选金额的10%，验收后无息退回。</w:t>
      </w:r>
    </w:p>
    <w:p>
      <w:pPr>
        <w:pStyle w:val="6"/>
        <w:rPr>
          <w:rFonts w:hAnsi="宋体"/>
          <w:color w:val="000000"/>
          <w:sz w:val="24"/>
        </w:rPr>
      </w:pPr>
      <w:r>
        <w:rPr>
          <w:rFonts w:hint="eastAsia" w:hAnsi="宋体"/>
          <w:color w:val="000000"/>
          <w:sz w:val="24"/>
        </w:rPr>
        <w:t>三、质量要求</w:t>
      </w:r>
      <w:r>
        <w:rPr>
          <w:rFonts w:hAnsi="宋体"/>
          <w:color w:val="000000"/>
          <w:sz w:val="24"/>
        </w:rPr>
        <w:tab/>
      </w:r>
    </w:p>
    <w:p>
      <w:pPr>
        <w:spacing w:line="520" w:lineRule="exact"/>
        <w:ind w:firstLine="480" w:firstLineChars="200"/>
        <w:rPr>
          <w:rFonts w:hAnsi="宋体"/>
          <w:color w:val="000000"/>
          <w:sz w:val="24"/>
        </w:rPr>
      </w:pPr>
      <w:r>
        <w:rPr>
          <w:rFonts w:hAnsi="宋体"/>
          <w:color w:val="000000"/>
          <w:sz w:val="24"/>
        </w:rPr>
        <w:t>1</w:t>
      </w:r>
      <w:r>
        <w:rPr>
          <w:rFonts w:hint="eastAsia" w:hAnsi="宋体"/>
          <w:color w:val="000000"/>
          <w:sz w:val="24"/>
        </w:rPr>
        <w:t>．乙方须提供全新的货物（含零部件、配件等），表面无划伤、无碰撞痕迹，且权属清楚，不得侵害他人的知识产权。</w:t>
      </w:r>
    </w:p>
    <w:p>
      <w:pPr>
        <w:spacing w:line="520" w:lineRule="exact"/>
        <w:ind w:firstLine="480" w:firstLineChars="200"/>
        <w:rPr>
          <w:rFonts w:hAnsi="宋体"/>
          <w:color w:val="000000"/>
          <w:sz w:val="24"/>
        </w:rPr>
      </w:pPr>
      <w:r>
        <w:rPr>
          <w:rFonts w:hint="eastAsia" w:hAnsi="宋体"/>
          <w:color w:val="000000"/>
          <w:sz w:val="24"/>
        </w:rPr>
        <w:t>2．货物必须符合或优于国家（行业）标准，以及本项目</w:t>
      </w:r>
      <w:r>
        <w:rPr>
          <w:rFonts w:hint="eastAsia" w:hAnsi="宋体"/>
          <w:color w:val="000000"/>
          <w:sz w:val="24"/>
          <w:lang w:eastAsia="zh-CN"/>
        </w:rPr>
        <w:t>询价</w:t>
      </w:r>
      <w:r>
        <w:rPr>
          <w:rFonts w:hint="eastAsia" w:hAnsi="宋体"/>
          <w:color w:val="000000"/>
          <w:sz w:val="24"/>
        </w:rPr>
        <w:t>文件的质量要求和技术指标与出厂标准。</w:t>
      </w:r>
    </w:p>
    <w:p>
      <w:pPr>
        <w:spacing w:line="520" w:lineRule="exact"/>
        <w:ind w:firstLine="480" w:firstLineChars="200"/>
        <w:rPr>
          <w:rFonts w:hAnsi="宋体"/>
          <w:color w:val="000000"/>
          <w:sz w:val="24"/>
        </w:rPr>
      </w:pPr>
      <w:r>
        <w:rPr>
          <w:rFonts w:hint="eastAsia" w:hAnsi="宋体"/>
          <w:color w:val="000000"/>
          <w:sz w:val="24"/>
        </w:rPr>
        <w:t>3．货物制造质量出现问题，乙方应负责三包（包修、包换、包退），费用由乙方负担，甲方有权到乙方生产场地检查货物质量和生产进度。</w:t>
      </w:r>
    </w:p>
    <w:p>
      <w:pPr>
        <w:spacing w:line="520" w:lineRule="exact"/>
        <w:ind w:firstLine="480" w:firstLineChars="200"/>
        <w:rPr>
          <w:rFonts w:hAnsi="宋体"/>
          <w:color w:val="000000"/>
          <w:sz w:val="24"/>
        </w:rPr>
      </w:pPr>
      <w:r>
        <w:rPr>
          <w:rFonts w:hint="eastAsia" w:hAnsi="宋体"/>
          <w:color w:val="000000"/>
          <w:sz w:val="24"/>
        </w:rPr>
        <w:t>4．货物到现场后由于甲方保管不当造成的质量问题，乙方亦应负责修理，但费用由甲方负担。</w:t>
      </w:r>
    </w:p>
    <w:p>
      <w:pPr>
        <w:pStyle w:val="6"/>
        <w:rPr>
          <w:rFonts w:hAnsi="宋体"/>
          <w:color w:val="000000"/>
          <w:sz w:val="24"/>
        </w:rPr>
      </w:pPr>
      <w:r>
        <w:rPr>
          <w:rFonts w:hint="eastAsia" w:hAnsi="宋体"/>
          <w:color w:val="000000"/>
          <w:sz w:val="24"/>
        </w:rPr>
        <w:t>四、交货及验收</w:t>
      </w:r>
    </w:p>
    <w:p>
      <w:pPr>
        <w:spacing w:line="520" w:lineRule="exact"/>
        <w:ind w:firstLine="480" w:firstLineChars="200"/>
        <w:rPr>
          <w:rFonts w:hAnsi="宋体"/>
          <w:color w:val="000000"/>
          <w:sz w:val="24"/>
        </w:rPr>
      </w:pPr>
      <w:r>
        <w:rPr>
          <w:rFonts w:hAnsi="宋体"/>
          <w:color w:val="000000"/>
          <w:sz w:val="24"/>
        </w:rPr>
        <w:t>1</w:t>
      </w:r>
      <w:r>
        <w:rPr>
          <w:rFonts w:hint="eastAsia" w:hAnsi="宋体"/>
          <w:color w:val="000000"/>
          <w:sz w:val="24"/>
        </w:rPr>
        <w:t>．乙方交货期限为合同签订生效后的30日内，在合同签订生效之日起</w:t>
      </w:r>
      <w:r>
        <w:rPr>
          <w:rFonts w:hint="eastAsia" w:hAnsi="宋体"/>
          <w:sz w:val="24"/>
        </w:rPr>
        <w:t>25</w:t>
      </w:r>
      <w:r>
        <w:rPr>
          <w:rFonts w:hint="eastAsia" w:hAnsi="宋体"/>
          <w:color w:val="000000"/>
          <w:sz w:val="24"/>
        </w:rPr>
        <w:t>天内交货到甲方指定地点，随即在5日内全部完成安装调试验收合格交付使用</w:t>
      </w:r>
      <w:r>
        <w:rPr>
          <w:rFonts w:hAnsi="宋体"/>
          <w:color w:val="000000"/>
          <w:sz w:val="24"/>
        </w:rPr>
        <w:t>(</w:t>
      </w:r>
      <w:r>
        <w:rPr>
          <w:rFonts w:hint="eastAsia" w:hAnsi="宋体"/>
          <w:color w:val="000000"/>
          <w:sz w:val="24"/>
        </w:rPr>
        <w:t>如由于采购人的原因造成合同延迟签订或验收的，时间顺延</w:t>
      </w:r>
      <w:r>
        <w:rPr>
          <w:rFonts w:hAnsi="宋体"/>
          <w:color w:val="000000"/>
          <w:sz w:val="24"/>
        </w:rPr>
        <w:t>)</w:t>
      </w:r>
      <w:r>
        <w:rPr>
          <w:rFonts w:hint="eastAsia" w:hAnsi="宋体"/>
          <w:color w:val="000000"/>
          <w:sz w:val="24"/>
        </w:rPr>
        <w:t>。</w:t>
      </w:r>
    </w:p>
    <w:p>
      <w:pPr>
        <w:spacing w:line="520" w:lineRule="exact"/>
        <w:ind w:firstLine="480" w:firstLineChars="200"/>
        <w:rPr>
          <w:rFonts w:hAnsi="宋体"/>
          <w:color w:val="000000"/>
          <w:sz w:val="24"/>
        </w:rPr>
      </w:pPr>
      <w:r>
        <w:rPr>
          <w:rFonts w:hAnsi="宋体"/>
          <w:color w:val="000000"/>
          <w:sz w:val="24"/>
        </w:rPr>
        <w:t>2</w:t>
      </w:r>
      <w:r>
        <w:rPr>
          <w:rFonts w:hint="eastAsia" w:hAnsi="宋体"/>
          <w:color w:val="000000"/>
          <w:sz w:val="24"/>
        </w:rPr>
        <w:t>．验收由甲方组织，乙方配合进行：</w:t>
      </w:r>
    </w:p>
    <w:p>
      <w:pPr>
        <w:spacing w:line="520" w:lineRule="exact"/>
        <w:ind w:firstLine="480" w:firstLineChars="200"/>
        <w:rPr>
          <w:rFonts w:hAnsi="宋体"/>
          <w:color w:val="000000"/>
          <w:sz w:val="24"/>
        </w:rPr>
      </w:pPr>
      <w:r>
        <w:rPr>
          <w:rFonts w:hint="eastAsia" w:hAnsi="宋体"/>
          <w:color w:val="000000"/>
          <w:sz w:val="24"/>
        </w:rPr>
        <w:t>（1）货物在乙方通知安装调试完毕后5日内初步验收。初步验收合格后，进入20天试用期；试用期间发生一般性质量问题，修复后试用期相应顺延；试用期结束后5日内完成最终验收，如质量验收合格，双方签署《质量验收合格证明书》。</w:t>
      </w:r>
    </w:p>
    <w:p>
      <w:pPr>
        <w:spacing w:line="520" w:lineRule="exact"/>
        <w:ind w:firstLine="480" w:firstLineChars="200"/>
        <w:rPr>
          <w:rFonts w:hAnsi="宋体"/>
          <w:color w:val="000000"/>
          <w:sz w:val="24"/>
        </w:rPr>
      </w:pPr>
      <w:r>
        <w:rPr>
          <w:rFonts w:hint="eastAsia" w:hAnsi="宋体"/>
          <w:color w:val="000000"/>
          <w:sz w:val="24"/>
        </w:rPr>
        <w:t>（2）验收标准：按国家有关规定以及甲方</w:t>
      </w:r>
      <w:r>
        <w:rPr>
          <w:rFonts w:hint="eastAsia" w:hAnsi="宋体"/>
          <w:color w:val="000000"/>
          <w:sz w:val="24"/>
          <w:lang w:val="en-US" w:eastAsia="zh-CN"/>
        </w:rPr>
        <w:t>询价</w:t>
      </w:r>
      <w:r>
        <w:rPr>
          <w:rFonts w:hint="eastAsia" w:hAnsi="宋体"/>
          <w:color w:val="000000"/>
          <w:sz w:val="24"/>
        </w:rPr>
        <w:t>文件的质量要求和技术指标、乙方的响应文件及承诺与本合同约定标准进行验收；甲乙双方如对质量要求和技术指标的约定标准有相互抵触或异议的事项，由甲方在</w:t>
      </w:r>
      <w:r>
        <w:rPr>
          <w:rFonts w:hint="eastAsia" w:hAnsi="宋体"/>
          <w:sz w:val="24"/>
          <w:lang w:eastAsia="zh-CN"/>
        </w:rPr>
        <w:t>询价</w:t>
      </w:r>
      <w:r>
        <w:rPr>
          <w:rFonts w:hint="eastAsia" w:hAnsi="宋体"/>
          <w:sz w:val="24"/>
        </w:rPr>
        <w:t>文件</w:t>
      </w:r>
      <w:r>
        <w:rPr>
          <w:rFonts w:hint="eastAsia" w:hAnsi="宋体"/>
          <w:color w:val="000000"/>
          <w:sz w:val="24"/>
        </w:rPr>
        <w:t>与响应文件中按质量要求和技术指标比较优胜的原则确定该项的约定标准进行验收。</w:t>
      </w:r>
    </w:p>
    <w:p>
      <w:pPr>
        <w:spacing w:line="520" w:lineRule="exact"/>
        <w:ind w:firstLine="480" w:firstLineChars="200"/>
        <w:rPr>
          <w:rFonts w:hAnsi="宋体"/>
          <w:color w:val="000000"/>
          <w:sz w:val="24"/>
        </w:rPr>
      </w:pPr>
      <w:r>
        <w:rPr>
          <w:rFonts w:hint="eastAsia" w:hAnsi="宋体"/>
          <w:color w:val="000000"/>
          <w:sz w:val="24"/>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pacing w:line="520" w:lineRule="exact"/>
        <w:ind w:firstLine="480" w:firstLineChars="200"/>
        <w:rPr>
          <w:rFonts w:hAnsi="宋体"/>
          <w:color w:val="000000"/>
          <w:sz w:val="24"/>
        </w:rPr>
      </w:pPr>
      <w:r>
        <w:rPr>
          <w:rFonts w:hint="eastAsia" w:hAnsi="宋体"/>
          <w:color w:val="000000"/>
          <w:sz w:val="24"/>
        </w:rPr>
        <w:t>（4）如质量验收合格，双方签署质量验收报告。</w:t>
      </w:r>
    </w:p>
    <w:p>
      <w:pPr>
        <w:spacing w:line="520" w:lineRule="exact"/>
        <w:ind w:firstLine="480" w:firstLineChars="200"/>
        <w:rPr>
          <w:rFonts w:hAnsi="宋体"/>
          <w:color w:val="000000"/>
          <w:sz w:val="24"/>
        </w:rPr>
      </w:pPr>
      <w:r>
        <w:rPr>
          <w:rFonts w:hAnsi="宋体"/>
          <w:color w:val="000000"/>
          <w:sz w:val="24"/>
        </w:rPr>
        <w:t>3</w:t>
      </w:r>
      <w:r>
        <w:rPr>
          <w:rFonts w:hint="eastAsia" w:hAnsi="宋体"/>
          <w:color w:val="000000"/>
          <w:sz w:val="24"/>
        </w:rPr>
        <w:t>．货物安装调试完毕后10日内，甲方无故不进行验收工作并已使用货物的，视同验收合格。</w:t>
      </w:r>
    </w:p>
    <w:p>
      <w:pPr>
        <w:spacing w:line="520" w:lineRule="exact"/>
        <w:ind w:firstLine="480" w:firstLineChars="200"/>
        <w:rPr>
          <w:rFonts w:hAnsi="宋体"/>
          <w:color w:val="000000"/>
          <w:sz w:val="24"/>
        </w:rPr>
      </w:pPr>
      <w:r>
        <w:rPr>
          <w:rFonts w:hAnsi="宋体"/>
          <w:color w:val="000000"/>
          <w:sz w:val="24"/>
        </w:rPr>
        <w:t>4</w:t>
      </w:r>
      <w:r>
        <w:rPr>
          <w:rFonts w:hint="eastAsia" w:hAnsi="宋体"/>
          <w:color w:val="000000"/>
          <w:sz w:val="24"/>
        </w:rPr>
        <w:t>．乙方应将所提供货物的装箱清单、配件、随机工具、用户使用手册、原厂保修卡等资料交付给甲方；乙方不能完整交付货物及本款规定的单证和工具的，必须负责补齐，否则视为未按合同约定交货。</w:t>
      </w:r>
    </w:p>
    <w:p>
      <w:pPr>
        <w:spacing w:line="520" w:lineRule="exact"/>
        <w:ind w:firstLine="480" w:firstLineChars="200"/>
        <w:rPr>
          <w:rFonts w:hAnsi="宋体"/>
          <w:color w:val="000000"/>
          <w:sz w:val="24"/>
        </w:rPr>
      </w:pPr>
      <w:r>
        <w:rPr>
          <w:rFonts w:hAnsi="宋体"/>
          <w:color w:val="000000"/>
          <w:sz w:val="24"/>
        </w:rPr>
        <w:t>5</w:t>
      </w:r>
      <w:r>
        <w:rPr>
          <w:rFonts w:hint="eastAsia" w:hAnsi="宋体"/>
          <w:color w:val="000000"/>
          <w:sz w:val="24"/>
        </w:rPr>
        <w:t>．如货物经乙方2次维修仍不能达到合同约定的质量标准，甲方有权退货，并视作乙方不能交付货物</w:t>
      </w:r>
      <w:r>
        <w:rPr>
          <w:rFonts w:hint="eastAsia" w:hAnsi="宋体"/>
          <w:sz w:val="24"/>
        </w:rPr>
        <w:t>且</w:t>
      </w:r>
      <w:r>
        <w:rPr>
          <w:rFonts w:hint="eastAsia" w:hAnsi="宋体"/>
          <w:color w:val="000000"/>
          <w:sz w:val="24"/>
        </w:rPr>
        <w:t>须支付违约赔偿金给甲方，甲方还可依法追究乙方的违约责任。</w:t>
      </w:r>
    </w:p>
    <w:p>
      <w:pPr>
        <w:spacing w:line="520" w:lineRule="exact"/>
        <w:ind w:firstLine="480" w:firstLineChars="200"/>
        <w:rPr>
          <w:rFonts w:hAnsi="宋体"/>
          <w:b/>
          <w:color w:val="000000"/>
          <w:sz w:val="24"/>
        </w:rPr>
      </w:pPr>
      <w:r>
        <w:rPr>
          <w:rFonts w:hint="eastAsia" w:hAnsi="宋体"/>
          <w:color w:val="000000"/>
          <w:sz w:val="24"/>
        </w:rPr>
        <w:t>6．其他未尽事宜严格按照《财政部关于进一步加强政府采购需求和履约验收管理的指导意见》（财库〔2016〕205号）的相关规定执行。</w:t>
      </w:r>
      <w:r>
        <w:rPr>
          <w:rFonts w:hAnsi="宋体"/>
          <w:color w:val="000000"/>
          <w:sz w:val="24"/>
        </w:rPr>
        <w:t> </w:t>
      </w:r>
    </w:p>
    <w:p>
      <w:pPr>
        <w:pStyle w:val="6"/>
        <w:rPr>
          <w:rFonts w:hAnsi="宋体"/>
          <w:color w:val="000000"/>
          <w:sz w:val="24"/>
        </w:rPr>
      </w:pPr>
      <w:r>
        <w:rPr>
          <w:rFonts w:hint="eastAsia" w:hAnsi="宋体"/>
          <w:color w:val="000000"/>
          <w:sz w:val="24"/>
        </w:rPr>
        <w:t>五、</w:t>
      </w:r>
      <w:r>
        <w:rPr>
          <w:rFonts w:hint="eastAsia" w:hAnsi="宋体"/>
          <w:color w:val="000000" w:themeColor="text1"/>
          <w:sz w:val="24"/>
          <w14:textFill>
            <w14:solidFill>
              <w14:schemeClr w14:val="tx1"/>
            </w14:solidFill>
          </w14:textFill>
        </w:rPr>
        <w:t>付款方式</w:t>
      </w:r>
    </w:p>
    <w:p>
      <w:pPr>
        <w:spacing w:line="520" w:lineRule="exact"/>
        <w:ind w:firstLine="480" w:firstLineChars="200"/>
        <w:rPr>
          <w:rFonts w:hAnsi="宋体"/>
          <w:color w:val="000000"/>
          <w:sz w:val="24"/>
        </w:rPr>
      </w:pPr>
      <w:r>
        <w:rPr>
          <w:rFonts w:hint="eastAsia" w:hAnsi="宋体"/>
          <w:color w:val="000000"/>
          <w:sz w:val="24"/>
        </w:rPr>
        <w:t>1．全部货物安装调试完毕并验收合格之日起，甲方接到乙方通知与票据凭证资料以后的10日内，向乙方核拨合同总价的</w:t>
      </w:r>
      <w:r>
        <w:rPr>
          <w:rFonts w:hint="eastAsia" w:hAnsi="宋体"/>
          <w:color w:val="000000"/>
          <w:sz w:val="24"/>
          <w:lang w:val="en-US" w:eastAsia="zh-CN"/>
        </w:rPr>
        <w:t>97%</w:t>
      </w:r>
      <w:r>
        <w:rPr>
          <w:rFonts w:hint="eastAsia" w:hAnsi="宋体"/>
          <w:color w:val="000000"/>
          <w:sz w:val="24"/>
        </w:rPr>
        <w:t>款项：￥</w:t>
      </w:r>
      <w:r>
        <w:rPr>
          <w:rFonts w:hint="eastAsia" w:hAnsi="宋体"/>
          <w:color w:val="000000"/>
          <w:sz w:val="24"/>
          <w:lang w:val="en-US" w:eastAsia="zh-CN"/>
        </w:rPr>
        <w:t xml:space="preserve">     </w:t>
      </w:r>
      <w:r>
        <w:rPr>
          <w:rFonts w:hint="eastAsia" w:hAnsi="宋体"/>
          <w:color w:val="000000"/>
          <w:sz w:val="24"/>
        </w:rPr>
        <w:t>元，人民币大写：</w:t>
      </w:r>
      <w:r>
        <w:rPr>
          <w:rFonts w:hint="eastAsia" w:hAnsi="宋体"/>
          <w:color w:val="000000"/>
          <w:sz w:val="24"/>
          <w:lang w:val="en-US" w:eastAsia="zh-CN"/>
        </w:rPr>
        <w:t xml:space="preserve">      </w:t>
      </w:r>
      <w:r>
        <w:rPr>
          <w:rFonts w:hint="eastAsia" w:hAnsi="宋体"/>
          <w:color w:val="000000"/>
          <w:sz w:val="24"/>
        </w:rPr>
        <w:t>元整；</w:t>
      </w:r>
    </w:p>
    <w:p>
      <w:pPr>
        <w:spacing w:line="520" w:lineRule="exact"/>
        <w:ind w:firstLine="480" w:firstLineChars="200"/>
        <w:rPr>
          <w:rFonts w:hAnsi="宋体"/>
          <w:color w:val="000000"/>
          <w:sz w:val="24"/>
        </w:rPr>
      </w:pPr>
      <w:r>
        <w:rPr>
          <w:rFonts w:hint="eastAsia" w:hAnsi="宋体"/>
          <w:color w:val="000000"/>
          <w:sz w:val="24"/>
        </w:rPr>
        <w:t>2.质保期到期后无无质量问题，甲方接到乙方通知与票据凭证资料以后的10日内，向乙方核拨合同总价的</w:t>
      </w:r>
      <w:r>
        <w:rPr>
          <w:rFonts w:hint="eastAsia" w:hAnsi="宋体"/>
          <w:color w:val="000000"/>
          <w:sz w:val="24"/>
          <w:lang w:val="en-US" w:eastAsia="zh-CN"/>
        </w:rPr>
        <w:t>3%</w:t>
      </w:r>
      <w:r>
        <w:rPr>
          <w:rFonts w:hint="eastAsia" w:hAnsi="宋体"/>
          <w:color w:val="000000"/>
          <w:sz w:val="24"/>
        </w:rPr>
        <w:t>款项：</w:t>
      </w:r>
      <w:r>
        <w:rPr>
          <w:rFonts w:hint="eastAsia" w:hAnsi="宋体"/>
          <w:color w:val="000000"/>
          <w:sz w:val="24"/>
          <w:lang w:val="en-US" w:eastAsia="zh-CN"/>
        </w:rPr>
        <w:t xml:space="preserve">    </w:t>
      </w:r>
      <w:r>
        <w:rPr>
          <w:rFonts w:hint="eastAsia" w:hAnsi="宋体"/>
          <w:color w:val="000000"/>
          <w:sz w:val="24"/>
        </w:rPr>
        <w:t>元，人民币大写：</w:t>
      </w:r>
      <w:r>
        <w:rPr>
          <w:rFonts w:hint="eastAsia" w:hAnsi="宋体"/>
          <w:color w:val="000000"/>
          <w:sz w:val="24"/>
          <w:lang w:val="en-US" w:eastAsia="zh-CN"/>
        </w:rPr>
        <w:t xml:space="preserve">   </w:t>
      </w:r>
      <w:r>
        <w:rPr>
          <w:rFonts w:hint="eastAsia" w:hAnsi="宋体"/>
          <w:color w:val="000000"/>
          <w:sz w:val="24"/>
        </w:rPr>
        <w:t>元整；</w:t>
      </w:r>
    </w:p>
    <w:p>
      <w:pPr>
        <w:spacing w:line="520" w:lineRule="exact"/>
        <w:ind w:firstLine="480" w:firstLineChars="200"/>
        <w:rPr>
          <w:rFonts w:hAnsi="宋体"/>
          <w:color w:val="000000"/>
          <w:sz w:val="24"/>
        </w:rPr>
      </w:pPr>
      <w:r>
        <w:rPr>
          <w:rFonts w:hint="eastAsia" w:hAnsi="宋体"/>
          <w:color w:val="000000"/>
          <w:sz w:val="24"/>
        </w:rPr>
        <w:t>3．乙方须向甲方出具合法有效完整的完税发票及凭证资料进行支付结算。</w:t>
      </w:r>
    </w:p>
    <w:p>
      <w:pPr>
        <w:pStyle w:val="6"/>
        <w:rPr>
          <w:rFonts w:hAnsi="宋体"/>
          <w:sz w:val="24"/>
        </w:rPr>
      </w:pPr>
      <w:r>
        <w:rPr>
          <w:rFonts w:hint="eastAsia" w:hAnsi="宋体"/>
          <w:sz w:val="24"/>
        </w:rPr>
        <w:t>六、</w:t>
      </w:r>
      <w:r>
        <w:rPr>
          <w:rFonts w:hint="eastAsia" w:hAnsi="宋体"/>
          <w:color w:val="000000"/>
          <w:sz w:val="24"/>
        </w:rPr>
        <w:t>售后服务</w:t>
      </w:r>
    </w:p>
    <w:p>
      <w:pPr>
        <w:spacing w:line="520" w:lineRule="exact"/>
        <w:ind w:firstLine="480" w:firstLineChars="200"/>
        <w:rPr>
          <w:rFonts w:hAnsi="宋体"/>
          <w:color w:val="000000"/>
          <w:sz w:val="24"/>
        </w:rPr>
      </w:pPr>
      <w:r>
        <w:rPr>
          <w:rFonts w:hAnsi="宋体"/>
          <w:color w:val="000000"/>
          <w:sz w:val="24"/>
        </w:rPr>
        <w:t>1</w:t>
      </w:r>
      <w:r>
        <w:rPr>
          <w:rFonts w:hint="eastAsia" w:hAnsi="宋体"/>
          <w:color w:val="000000"/>
          <w:sz w:val="24"/>
        </w:rPr>
        <w:t>．质保期为验收合格后壹年，质保期内出现质量问题，乙方在接到通知后4小时内响应到场，24小时内完成维修或更换，并承担修理调换的费用；如货物经乙方3次维修仍不能达到本合同约定的质量标准，视作乙方未能按时交货，甲方有权退货并追究乙方的违约责任。货到现场后由于甲方保管不当造成的问题，乙方亦应负责修复，但费用由甲方负担。</w:t>
      </w:r>
    </w:p>
    <w:p>
      <w:pPr>
        <w:spacing w:line="520" w:lineRule="exact"/>
        <w:ind w:firstLine="480" w:firstLineChars="200"/>
        <w:rPr>
          <w:rFonts w:hAnsi="宋体"/>
          <w:b/>
          <w:color w:val="000000"/>
          <w:sz w:val="24"/>
        </w:rPr>
      </w:pPr>
      <w:r>
        <w:rPr>
          <w:rFonts w:hAnsi="宋体"/>
          <w:color w:val="000000"/>
          <w:sz w:val="24"/>
        </w:rPr>
        <w:t>2</w:t>
      </w:r>
      <w:r>
        <w:rPr>
          <w:rFonts w:hint="eastAsia" w:hAnsi="宋体"/>
          <w:color w:val="000000"/>
          <w:sz w:val="24"/>
        </w:rPr>
        <w:t>．乙方须指派专人负责与甲方联系售后服务事宜。</w:t>
      </w:r>
      <w:r>
        <w:rPr>
          <w:rFonts w:hAnsi="宋体"/>
          <w:color w:val="000000"/>
          <w:sz w:val="24"/>
        </w:rPr>
        <w:t> </w:t>
      </w:r>
    </w:p>
    <w:p>
      <w:pPr>
        <w:pStyle w:val="6"/>
        <w:rPr>
          <w:rFonts w:hAnsi="宋体"/>
          <w:color w:val="000000"/>
          <w:sz w:val="24"/>
        </w:rPr>
      </w:pPr>
      <w:r>
        <w:rPr>
          <w:rFonts w:hint="eastAsia" w:hAnsi="宋体"/>
          <w:color w:val="000000"/>
          <w:sz w:val="24"/>
        </w:rPr>
        <w:t>七、违约责任</w:t>
      </w:r>
    </w:p>
    <w:p>
      <w:pPr>
        <w:spacing w:line="520" w:lineRule="exact"/>
        <w:ind w:firstLine="480" w:firstLineChars="200"/>
        <w:rPr>
          <w:rFonts w:hAnsi="宋体"/>
          <w:color w:val="000000"/>
          <w:sz w:val="24"/>
        </w:rPr>
      </w:pPr>
      <w:r>
        <w:rPr>
          <w:rFonts w:hAnsi="宋体"/>
          <w:color w:val="000000"/>
          <w:sz w:val="24"/>
        </w:rPr>
        <w:t>1</w:t>
      </w:r>
      <w:r>
        <w:rPr>
          <w:rFonts w:hint="eastAsia" w:hAnsi="宋体"/>
          <w:color w:val="000000"/>
          <w:sz w:val="24"/>
        </w:rPr>
        <w:t>．甲方违约责任</w:t>
      </w:r>
    </w:p>
    <w:p>
      <w:pPr>
        <w:spacing w:line="520" w:lineRule="exact"/>
        <w:ind w:firstLine="480" w:firstLineChars="200"/>
        <w:rPr>
          <w:rFonts w:hAnsi="宋体"/>
          <w:color w:val="000000"/>
          <w:sz w:val="24"/>
        </w:rPr>
      </w:pPr>
      <w:r>
        <w:rPr>
          <w:rFonts w:hint="eastAsia" w:hAnsi="宋体"/>
          <w:color w:val="000000"/>
          <w:sz w:val="24"/>
        </w:rPr>
        <w:t>（</w:t>
      </w:r>
      <w:r>
        <w:rPr>
          <w:rFonts w:hAnsi="宋体"/>
          <w:color w:val="000000"/>
          <w:sz w:val="24"/>
        </w:rPr>
        <w:t>1</w:t>
      </w:r>
      <w:r>
        <w:rPr>
          <w:rFonts w:hint="eastAsia" w:hAnsi="宋体"/>
          <w:color w:val="000000"/>
          <w:sz w:val="24"/>
        </w:rPr>
        <w:t>）甲方无正当理由拒收货物的，甲方应偿付合同总价</w:t>
      </w:r>
      <w:r>
        <w:rPr>
          <w:rFonts w:hint="eastAsia" w:hAnsi="宋体"/>
          <w:color w:val="000000"/>
          <w:sz w:val="24"/>
          <w:lang w:val="en-US" w:eastAsia="zh-CN"/>
        </w:rPr>
        <w:t>10%</w:t>
      </w:r>
      <w:r>
        <w:rPr>
          <w:rFonts w:hint="eastAsia" w:hAnsi="宋体"/>
          <w:color w:val="000000"/>
          <w:sz w:val="24"/>
        </w:rPr>
        <w:t>的违约金。</w:t>
      </w:r>
    </w:p>
    <w:p>
      <w:pPr>
        <w:spacing w:line="520" w:lineRule="exact"/>
        <w:ind w:firstLine="480" w:firstLineChars="200"/>
        <w:rPr>
          <w:rFonts w:hAnsi="宋体"/>
          <w:color w:val="000000"/>
          <w:sz w:val="24"/>
        </w:rPr>
      </w:pPr>
      <w:r>
        <w:rPr>
          <w:rFonts w:hint="eastAsia" w:hAnsi="宋体"/>
          <w:color w:val="000000"/>
          <w:sz w:val="24"/>
        </w:rPr>
        <w:t>（</w:t>
      </w:r>
      <w:r>
        <w:rPr>
          <w:rFonts w:hAnsi="宋体"/>
          <w:color w:val="000000"/>
          <w:sz w:val="24"/>
        </w:rPr>
        <w:t>2</w:t>
      </w:r>
      <w:r>
        <w:rPr>
          <w:rFonts w:hint="eastAsia" w:hAnsi="宋体"/>
          <w:color w:val="000000"/>
          <w:sz w:val="24"/>
        </w:rPr>
        <w:t>）甲方逾期支付货款的，除应及时付足货款外，</w:t>
      </w:r>
      <w:r>
        <w:rPr>
          <w:rFonts w:hAnsi="宋体"/>
          <w:color w:val="000000"/>
          <w:sz w:val="24"/>
        </w:rPr>
        <w:t>应向乙方偿付欠款总额万分之</w:t>
      </w:r>
      <w:r>
        <w:rPr>
          <w:rFonts w:hint="eastAsia" w:hAnsi="宋体"/>
          <w:color w:val="000000"/>
          <w:sz w:val="24"/>
        </w:rPr>
        <w:t>2</w:t>
      </w:r>
      <w:r>
        <w:rPr>
          <w:rFonts w:hAnsi="宋体"/>
          <w:color w:val="000000"/>
          <w:sz w:val="24"/>
        </w:rPr>
        <w:t>/天</w:t>
      </w:r>
      <w:r>
        <w:rPr>
          <w:rFonts w:hint="eastAsia" w:hAnsi="宋体"/>
          <w:color w:val="000000"/>
          <w:sz w:val="24"/>
        </w:rPr>
        <w:t>的违约金；逾期付款超过30天的，乙方有权终止合同。</w:t>
      </w:r>
    </w:p>
    <w:p>
      <w:pPr>
        <w:spacing w:line="520" w:lineRule="exact"/>
        <w:ind w:firstLine="480" w:firstLineChars="200"/>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）甲方偿付的违约金不足以弥补乙方损失的，还应按乙方损失尚未弥补的部分，支付赔偿金给乙方。</w:t>
      </w:r>
    </w:p>
    <w:p>
      <w:pPr>
        <w:spacing w:line="520" w:lineRule="exact"/>
        <w:ind w:firstLine="480" w:firstLineChars="200"/>
        <w:rPr>
          <w:rFonts w:hAnsi="宋体"/>
          <w:color w:val="000000"/>
          <w:sz w:val="24"/>
        </w:rPr>
      </w:pPr>
      <w:r>
        <w:rPr>
          <w:rFonts w:hAnsi="宋体"/>
          <w:color w:val="000000"/>
          <w:sz w:val="24"/>
        </w:rPr>
        <w:t>2</w:t>
      </w:r>
      <w:r>
        <w:rPr>
          <w:rFonts w:hint="eastAsia" w:hAnsi="宋体"/>
          <w:color w:val="000000"/>
          <w:sz w:val="24"/>
        </w:rPr>
        <w:t>．乙方违约责任</w:t>
      </w:r>
    </w:p>
    <w:p>
      <w:pPr>
        <w:spacing w:line="520" w:lineRule="exact"/>
        <w:ind w:firstLine="480" w:firstLineChars="200"/>
        <w:rPr>
          <w:rFonts w:hAnsi="宋体"/>
          <w:color w:val="000000"/>
          <w:sz w:val="24"/>
        </w:rPr>
      </w:pPr>
      <w:r>
        <w:rPr>
          <w:rFonts w:hint="eastAsia" w:hAnsi="宋体"/>
          <w:color w:val="000000"/>
          <w:sz w:val="24"/>
        </w:rPr>
        <w:t>（</w:t>
      </w:r>
      <w:r>
        <w:rPr>
          <w:rFonts w:hAnsi="宋体"/>
          <w:color w:val="000000"/>
          <w:sz w:val="24"/>
        </w:rPr>
        <w:t>1</w:t>
      </w:r>
      <w:r>
        <w:rPr>
          <w:rFonts w:hint="eastAsia" w:hAnsi="宋体"/>
          <w:color w:val="000000"/>
          <w:sz w:val="24"/>
        </w:rPr>
        <w:t>）乙方交付的货物质量不符合合同规定的，乙方应向甲方支付合同总价的百分之5的违约金，并须在合同规定的交货时间内更换合格的货物给甲方，否则，视作乙方不能交付货物而违约，按本条本款下述第“（2）”项规定由乙方偿付违约赔偿金给甲方。</w:t>
      </w:r>
    </w:p>
    <w:p>
      <w:pPr>
        <w:spacing w:line="520" w:lineRule="exact"/>
        <w:ind w:firstLine="480" w:firstLineChars="200"/>
        <w:rPr>
          <w:rFonts w:hAnsi="宋体"/>
          <w:color w:val="000000"/>
          <w:sz w:val="24"/>
        </w:rPr>
      </w:pPr>
      <w:r>
        <w:rPr>
          <w:rFonts w:hint="eastAsia" w:hAnsi="宋体"/>
          <w:color w:val="000000"/>
          <w:sz w:val="24"/>
        </w:rPr>
        <w:t>（</w:t>
      </w:r>
      <w:r>
        <w:rPr>
          <w:rFonts w:hAnsi="宋体"/>
          <w:color w:val="000000"/>
          <w:sz w:val="24"/>
        </w:rPr>
        <w:t>2</w:t>
      </w:r>
      <w:r>
        <w:rPr>
          <w:rFonts w:hint="eastAsia" w:hAnsi="宋体"/>
          <w:color w:val="000000"/>
          <w:sz w:val="24"/>
        </w:rPr>
        <w:t>）乙方不能交付货物或逾期交付货物而违约的，除应及时交足货物外，</w:t>
      </w:r>
      <w:r>
        <w:rPr>
          <w:rFonts w:hAnsi="宋体"/>
          <w:color w:val="000000"/>
          <w:sz w:val="24"/>
        </w:rPr>
        <w:t>应向甲方偿付逾期交货部分货款总额的万分之</w:t>
      </w:r>
      <w:r>
        <w:rPr>
          <w:rFonts w:hint="eastAsia" w:hAnsi="宋体"/>
          <w:color w:val="000000"/>
          <w:sz w:val="24"/>
        </w:rPr>
        <w:t>2</w:t>
      </w:r>
      <w:r>
        <w:rPr>
          <w:rFonts w:hAnsi="宋体"/>
          <w:color w:val="000000"/>
          <w:sz w:val="24"/>
        </w:rPr>
        <w:t>/天</w:t>
      </w:r>
      <w:r>
        <w:rPr>
          <w:rFonts w:hint="eastAsia" w:hAnsi="宋体"/>
          <w:color w:val="000000"/>
          <w:sz w:val="24"/>
        </w:rPr>
        <w:t>的违约金；逾期交货超过60天，甲方有权终止合同，乙方则应按合同总价的</w:t>
      </w:r>
      <w:r>
        <w:rPr>
          <w:rFonts w:hint="eastAsia" w:hAnsi="宋体"/>
          <w:color w:val="000000"/>
          <w:sz w:val="24"/>
          <w:lang w:val="en-US" w:eastAsia="zh-CN"/>
        </w:rPr>
        <w:t>10%</w:t>
      </w:r>
      <w:r>
        <w:rPr>
          <w:rFonts w:hint="eastAsia" w:hAnsi="宋体"/>
          <w:color w:val="000000"/>
          <w:sz w:val="24"/>
        </w:rPr>
        <w:t>的款额向甲方偿付赔偿金。</w:t>
      </w:r>
    </w:p>
    <w:p>
      <w:pPr>
        <w:spacing w:line="520" w:lineRule="exact"/>
        <w:ind w:firstLine="480" w:firstLineChars="200"/>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乙方货物经甲方送交具有法定资格条件的质量技术监督机构检测后，如检测结果认定货物质量不符合本合同规定标准的，则视为乙方没有按时交货而违约，乙方须在30天内无条件更换合格的货物，如逾期不能更换合格的货物，甲方有权终止本合同，乙方应另付合同总价的</w:t>
      </w:r>
      <w:r>
        <w:rPr>
          <w:rFonts w:hint="eastAsia" w:hAnsi="宋体"/>
          <w:color w:val="000000"/>
          <w:sz w:val="24"/>
          <w:lang w:val="en-US" w:eastAsia="zh-CN"/>
        </w:rPr>
        <w:t>10%</w:t>
      </w:r>
      <w:r>
        <w:rPr>
          <w:rFonts w:hint="eastAsia" w:hAnsi="宋体"/>
          <w:color w:val="000000"/>
          <w:sz w:val="24"/>
        </w:rPr>
        <w:t>的赔偿金给甲方。</w:t>
      </w:r>
    </w:p>
    <w:p>
      <w:pPr>
        <w:spacing w:line="520" w:lineRule="exact"/>
        <w:ind w:firstLine="480" w:firstLineChars="200"/>
        <w:rPr>
          <w:rFonts w:hAnsi="宋体"/>
          <w:color w:val="000000"/>
          <w:sz w:val="24"/>
        </w:rPr>
      </w:pPr>
      <w:r>
        <w:rPr>
          <w:rFonts w:hint="eastAsia" w:hAnsi="宋体"/>
          <w:color w:val="000000"/>
          <w:sz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olor w:val="000000"/>
          <w:sz w:val="24"/>
          <w:lang w:val="en-US" w:eastAsia="zh-CN"/>
        </w:rPr>
        <w:t>10%</w:t>
      </w:r>
      <w:r>
        <w:rPr>
          <w:rFonts w:hint="eastAsia" w:hAnsi="宋体"/>
          <w:color w:val="000000"/>
          <w:sz w:val="24"/>
        </w:rPr>
        <w:t>向甲方支付违约金。</w:t>
      </w:r>
    </w:p>
    <w:p>
      <w:pPr>
        <w:spacing w:line="520" w:lineRule="exact"/>
        <w:ind w:firstLine="480" w:firstLineChars="200"/>
        <w:rPr>
          <w:rFonts w:hAnsi="宋体"/>
          <w:b/>
          <w:color w:val="000000"/>
          <w:sz w:val="24"/>
        </w:rPr>
      </w:pPr>
      <w:r>
        <w:rPr>
          <w:rFonts w:hint="eastAsia" w:hAnsi="宋体"/>
          <w:color w:val="000000"/>
          <w:sz w:val="24"/>
        </w:rPr>
        <w:t>（</w:t>
      </w:r>
      <w:r>
        <w:rPr>
          <w:rFonts w:hAnsi="宋体"/>
          <w:color w:val="000000"/>
          <w:sz w:val="24"/>
        </w:rPr>
        <w:t>5</w:t>
      </w:r>
      <w:r>
        <w:rPr>
          <w:rFonts w:hint="eastAsia" w:hAnsi="宋体"/>
          <w:color w:val="000000"/>
          <w:sz w:val="24"/>
        </w:rPr>
        <w:t>）乙方偿付的违约金不足以弥补甲方损失的，还应按甲方损失尚未弥补的部分，支付赔偿金给甲方。</w:t>
      </w:r>
    </w:p>
    <w:p>
      <w:pPr>
        <w:pStyle w:val="6"/>
        <w:rPr>
          <w:rFonts w:hAnsi="宋体"/>
          <w:color w:val="000000"/>
          <w:sz w:val="24"/>
        </w:rPr>
      </w:pPr>
      <w:r>
        <w:rPr>
          <w:rFonts w:hint="eastAsia" w:hAnsi="宋体"/>
          <w:color w:val="000000"/>
          <w:sz w:val="24"/>
        </w:rPr>
        <w:t>八、争议解决办法</w:t>
      </w:r>
    </w:p>
    <w:p>
      <w:pPr>
        <w:spacing w:line="520" w:lineRule="exact"/>
        <w:ind w:firstLine="480" w:firstLineChars="200"/>
        <w:rPr>
          <w:rFonts w:hAnsi="宋体"/>
          <w:color w:val="000000"/>
          <w:sz w:val="24"/>
        </w:rPr>
      </w:pPr>
      <w:r>
        <w:rPr>
          <w:rFonts w:hAnsi="宋体"/>
          <w:color w:val="000000"/>
          <w:sz w:val="24"/>
        </w:rPr>
        <w:t>1</w:t>
      </w:r>
      <w:r>
        <w:rPr>
          <w:rFonts w:hint="eastAsia" w:hAnsi="宋体"/>
          <w:color w:val="000000"/>
          <w:sz w:val="24"/>
        </w:rPr>
        <w:t>．因货物的质量问题发生争议，由质量技术监督部门或其指定的质量鉴定机构进行质量鉴定。货物符合标准的，鉴定费由甲方承担；货物不符合质量标准的，鉴定费由乙方承担。</w:t>
      </w:r>
    </w:p>
    <w:p>
      <w:pPr>
        <w:spacing w:line="520" w:lineRule="exact"/>
        <w:ind w:firstLine="480" w:firstLineChars="200"/>
        <w:rPr>
          <w:rFonts w:hAnsi="宋体"/>
          <w:b/>
          <w:color w:val="000000"/>
          <w:sz w:val="24"/>
        </w:rPr>
      </w:pPr>
      <w:r>
        <w:rPr>
          <w:rFonts w:hAnsi="宋体"/>
          <w:color w:val="000000"/>
          <w:sz w:val="24"/>
        </w:rPr>
        <w:t>2</w:t>
      </w:r>
      <w:r>
        <w:rPr>
          <w:rFonts w:hint="eastAsia" w:hAnsi="宋体"/>
          <w:color w:val="000000"/>
          <w:sz w:val="24"/>
        </w:rPr>
        <w:t>．合同履行期间</w:t>
      </w:r>
      <w:r>
        <w:rPr>
          <w:rFonts w:hAnsi="宋体"/>
          <w:color w:val="000000"/>
          <w:sz w:val="24"/>
        </w:rPr>
        <w:t>,</w:t>
      </w:r>
      <w:r>
        <w:rPr>
          <w:rFonts w:hint="eastAsia" w:hAnsi="宋体"/>
          <w:color w:val="000000"/>
          <w:sz w:val="24"/>
        </w:rPr>
        <w:t>若双方发生争议，可协商或由有关部门调解解决，协商或调解不成的，在</w:t>
      </w:r>
      <w:r>
        <w:rPr>
          <w:rFonts w:hint="eastAsia" w:hAnsi="宋体"/>
          <w:color w:val="000000"/>
          <w:sz w:val="24"/>
          <w:lang w:eastAsia="zh-CN"/>
        </w:rPr>
        <w:t>合同签约地</w:t>
      </w:r>
      <w:r>
        <w:rPr>
          <w:rFonts w:hint="eastAsia" w:hAnsi="宋体"/>
          <w:color w:val="000000"/>
          <w:sz w:val="24"/>
        </w:rPr>
        <w:t>合江县人民法院诉讼解决。</w:t>
      </w:r>
    </w:p>
    <w:p>
      <w:pPr>
        <w:pStyle w:val="6"/>
        <w:rPr>
          <w:rFonts w:hAnsi="宋体"/>
          <w:color w:val="000000"/>
          <w:sz w:val="24"/>
        </w:rPr>
      </w:pPr>
      <w:r>
        <w:rPr>
          <w:rFonts w:hint="eastAsia" w:hAnsi="宋体"/>
          <w:color w:val="000000"/>
          <w:sz w:val="24"/>
        </w:rPr>
        <w:t>九、其他</w:t>
      </w:r>
    </w:p>
    <w:p>
      <w:pPr>
        <w:spacing w:line="520" w:lineRule="exact"/>
        <w:ind w:firstLine="480" w:firstLineChars="200"/>
        <w:rPr>
          <w:rFonts w:hAnsi="宋体"/>
          <w:color w:val="000000"/>
          <w:sz w:val="24"/>
        </w:rPr>
      </w:pPr>
      <w:r>
        <w:rPr>
          <w:rFonts w:hAnsi="宋体"/>
          <w:color w:val="000000"/>
          <w:sz w:val="24"/>
        </w:rPr>
        <w:t>1</w:t>
      </w:r>
      <w:r>
        <w:rPr>
          <w:rFonts w:hint="eastAsia" w:hAnsi="宋体"/>
          <w:color w:val="000000"/>
          <w:sz w:val="24"/>
        </w:rPr>
        <w:t>．如有未尽事宜，由双方依法订立补充合同。</w:t>
      </w:r>
    </w:p>
    <w:p>
      <w:pPr>
        <w:spacing w:line="520" w:lineRule="exact"/>
        <w:ind w:firstLine="480" w:firstLineChars="200"/>
        <w:rPr>
          <w:rFonts w:hAnsi="宋体"/>
          <w:color w:val="000000"/>
          <w:sz w:val="24"/>
        </w:rPr>
      </w:pPr>
      <w:r>
        <w:rPr>
          <w:rFonts w:hAnsi="宋体"/>
          <w:color w:val="000000"/>
          <w:sz w:val="24"/>
        </w:rPr>
        <w:t>2</w:t>
      </w:r>
      <w:r>
        <w:rPr>
          <w:rFonts w:hint="eastAsia" w:hAnsi="宋体"/>
          <w:color w:val="000000"/>
          <w:sz w:val="24"/>
        </w:rPr>
        <w:t>．本合同双方应加盖骑缝章。</w:t>
      </w:r>
    </w:p>
    <w:p>
      <w:pPr>
        <w:spacing w:line="520" w:lineRule="exact"/>
        <w:ind w:firstLine="480" w:firstLineChars="200"/>
        <w:rPr>
          <w:rFonts w:hAnsi="宋体"/>
          <w:color w:val="000000"/>
          <w:sz w:val="24"/>
        </w:rPr>
      </w:pPr>
      <w:r>
        <w:rPr>
          <w:rFonts w:hint="eastAsia" w:hAnsi="宋体"/>
          <w:color w:val="000000"/>
          <w:sz w:val="24"/>
        </w:rPr>
        <w:t>3．本合同一式七份，自双方签章后生效。甲方三份、乙方二份、采购管理部门、采购代理机构各一份。</w:t>
      </w:r>
    </w:p>
    <w:p>
      <w:pPr>
        <w:spacing w:line="520" w:lineRule="exact"/>
        <w:rPr>
          <w:rFonts w:hAnsi="宋体"/>
          <w:color w:val="000000"/>
          <w:sz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color w:val="000000"/>
                <w:sz w:val="24"/>
              </w:rPr>
              <w:t>甲方：（盖单位公章）</w:t>
            </w:r>
            <w:r>
              <w:rPr>
                <w:rFonts w:hint="eastAsia" w:hAnsi="宋体"/>
                <w:sz w:val="24"/>
              </w:rPr>
              <w:t>合江城区国家粮食储备库有限公司</w:t>
            </w:r>
          </w:p>
        </w:tc>
        <w:tc>
          <w:tcPr>
            <w:tcW w:w="4981" w:type="dxa"/>
            <w:vAlign w:val="center"/>
          </w:tcPr>
          <w:p>
            <w:pPr>
              <w:spacing w:line="520" w:lineRule="exact"/>
              <w:jc w:val="left"/>
              <w:rPr>
                <w:rFonts w:hAnsi="宋体"/>
                <w:color w:val="000000"/>
                <w:sz w:val="24"/>
              </w:rPr>
            </w:pPr>
            <w:r>
              <w:rPr>
                <w:rFonts w:hint="eastAsia" w:hAnsi="宋体"/>
                <w:color w:val="000000"/>
                <w:sz w:val="24"/>
              </w:rPr>
              <w:t>乙方：（盖单位公章）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color w:val="000000"/>
                <w:sz w:val="24"/>
              </w:rPr>
              <w:t>法定代表人（授权代表）：</w:t>
            </w:r>
          </w:p>
        </w:tc>
        <w:tc>
          <w:tcPr>
            <w:tcW w:w="4981" w:type="dxa"/>
            <w:vAlign w:val="center"/>
          </w:tcPr>
          <w:p>
            <w:pPr>
              <w:spacing w:line="520" w:lineRule="exact"/>
              <w:jc w:val="left"/>
              <w:rPr>
                <w:rFonts w:hAnsi="宋体"/>
                <w:color w:val="000000"/>
                <w:sz w:val="24"/>
              </w:rPr>
            </w:pPr>
            <w:r>
              <w:rPr>
                <w:rFonts w:hint="eastAsia" w:hAnsi="宋体"/>
                <w:color w:val="000000"/>
                <w:sz w:val="24"/>
              </w:rPr>
              <w:t>法定代表人（授权代表）：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color w:val="000000"/>
                <w:sz w:val="24"/>
              </w:rPr>
              <w:t>地址：</w:t>
            </w:r>
          </w:p>
        </w:tc>
        <w:tc>
          <w:tcPr>
            <w:tcW w:w="4981" w:type="dxa"/>
            <w:vAlign w:val="center"/>
          </w:tcPr>
          <w:p>
            <w:pPr>
              <w:spacing w:line="520" w:lineRule="exact"/>
              <w:jc w:val="left"/>
              <w:rPr>
                <w:rFonts w:hAnsi="宋体"/>
                <w:color w:val="000000"/>
                <w:sz w:val="24"/>
              </w:rPr>
            </w:pPr>
            <w:r>
              <w:rPr>
                <w:rFonts w:hint="eastAsia" w:hAnsi="宋体"/>
                <w:color w:val="000000"/>
                <w:sz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color w:val="000000"/>
                <w:sz w:val="24"/>
              </w:rPr>
              <w:t>开户银行：</w:t>
            </w:r>
          </w:p>
        </w:tc>
        <w:tc>
          <w:tcPr>
            <w:tcW w:w="4981" w:type="dxa"/>
            <w:vAlign w:val="center"/>
          </w:tcPr>
          <w:p>
            <w:pPr>
              <w:spacing w:line="520" w:lineRule="exact"/>
              <w:jc w:val="left"/>
              <w:rPr>
                <w:rFonts w:hAnsi="宋体"/>
                <w:color w:val="000000"/>
                <w:sz w:val="24"/>
              </w:rPr>
            </w:pPr>
            <w:r>
              <w:rPr>
                <w:rFonts w:hint="eastAsia" w:hAnsi="宋体"/>
                <w:color w:val="000000"/>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color w:val="000000"/>
                <w:sz w:val="24"/>
              </w:rPr>
              <w:t>账号：</w:t>
            </w:r>
          </w:p>
        </w:tc>
        <w:tc>
          <w:tcPr>
            <w:tcW w:w="4981" w:type="dxa"/>
            <w:vAlign w:val="center"/>
          </w:tcPr>
          <w:p>
            <w:pPr>
              <w:spacing w:line="520" w:lineRule="exact"/>
              <w:jc w:val="left"/>
              <w:rPr>
                <w:rFonts w:hAnsi="宋体"/>
                <w:color w:val="000000"/>
                <w:sz w:val="24"/>
              </w:rPr>
            </w:pPr>
            <w:r>
              <w:rPr>
                <w:rFonts w:hint="eastAsia" w:hAnsi="宋体"/>
                <w:color w:val="000000"/>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color w:val="000000"/>
                <w:sz w:val="24"/>
              </w:rPr>
              <w:t>电话：</w:t>
            </w:r>
          </w:p>
        </w:tc>
        <w:tc>
          <w:tcPr>
            <w:tcW w:w="4981" w:type="dxa"/>
            <w:vAlign w:val="center"/>
          </w:tcPr>
          <w:p>
            <w:pPr>
              <w:spacing w:line="520" w:lineRule="exact"/>
              <w:jc w:val="left"/>
              <w:rPr>
                <w:rFonts w:hAnsi="宋体"/>
                <w:color w:val="000000"/>
                <w:sz w:val="24"/>
              </w:rPr>
            </w:pPr>
            <w:r>
              <w:rPr>
                <w:rFonts w:hint="eastAsia" w:hAnsi="宋体"/>
                <w:color w:val="000000"/>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1" w:type="dxa"/>
            <w:vAlign w:val="center"/>
          </w:tcPr>
          <w:p>
            <w:pPr>
              <w:spacing w:line="520" w:lineRule="exact"/>
              <w:jc w:val="left"/>
              <w:rPr>
                <w:rFonts w:hAnsi="宋体"/>
                <w:color w:val="000000"/>
                <w:sz w:val="24"/>
              </w:rPr>
            </w:pPr>
            <w:r>
              <w:rPr>
                <w:rFonts w:hint="eastAsia" w:hAnsi="宋体"/>
                <w:sz w:val="24"/>
              </w:rPr>
              <w:t>签约日期：202</w:t>
            </w:r>
            <w:r>
              <w:rPr>
                <w:rFonts w:hint="eastAsia" w:hAnsi="宋体"/>
                <w:sz w:val="24"/>
                <w:lang w:val="en-US" w:eastAsia="zh-CN"/>
              </w:rPr>
              <w:t>3</w:t>
            </w:r>
            <w:r>
              <w:rPr>
                <w:rFonts w:hint="eastAsia" w:hAnsi="宋体"/>
                <w:sz w:val="24"/>
              </w:rPr>
              <w:t>年</w:t>
            </w:r>
            <w:r>
              <w:rPr>
                <w:rFonts w:hint="eastAsia" w:hAnsi="宋体"/>
                <w:sz w:val="24"/>
                <w:lang w:val="en-US" w:eastAsia="zh-CN"/>
              </w:rPr>
              <w:t>4</w:t>
            </w:r>
            <w:r>
              <w:rPr>
                <w:rFonts w:hint="eastAsia" w:hAnsi="宋体"/>
                <w:sz w:val="24"/>
              </w:rPr>
              <w:t>月   日</w:t>
            </w:r>
          </w:p>
        </w:tc>
        <w:tc>
          <w:tcPr>
            <w:tcW w:w="4981" w:type="dxa"/>
            <w:vAlign w:val="center"/>
          </w:tcPr>
          <w:p>
            <w:pPr>
              <w:spacing w:line="520" w:lineRule="exact"/>
              <w:jc w:val="left"/>
              <w:rPr>
                <w:rFonts w:hAnsi="宋体"/>
                <w:color w:val="000000"/>
                <w:sz w:val="24"/>
              </w:rPr>
            </w:pPr>
            <w:r>
              <w:rPr>
                <w:rFonts w:hint="eastAsia" w:hAnsi="宋体"/>
                <w:sz w:val="24"/>
              </w:rPr>
              <w:t>签约日期：202</w:t>
            </w:r>
            <w:r>
              <w:rPr>
                <w:rFonts w:hint="eastAsia" w:hAnsi="宋体"/>
                <w:sz w:val="24"/>
                <w:lang w:val="en-US" w:eastAsia="zh-CN"/>
              </w:rPr>
              <w:t>3</w:t>
            </w:r>
            <w:r>
              <w:rPr>
                <w:rFonts w:hint="eastAsia" w:hAnsi="宋体"/>
                <w:sz w:val="24"/>
              </w:rPr>
              <w:t>年</w:t>
            </w:r>
            <w:r>
              <w:rPr>
                <w:rFonts w:hint="eastAsia" w:hAnsi="宋体"/>
                <w:sz w:val="24"/>
                <w:lang w:val="en-US" w:eastAsia="zh-CN"/>
              </w:rPr>
              <w:t>4</w:t>
            </w:r>
            <w:r>
              <w:rPr>
                <w:rFonts w:hint="eastAsia" w:hAnsi="宋体"/>
                <w:sz w:val="24"/>
              </w:rPr>
              <w:t>月   日</w:t>
            </w:r>
          </w:p>
        </w:tc>
      </w:tr>
    </w:tbl>
    <w:p>
      <w:pPr>
        <w:numPr>
          <w:ilvl w:val="0"/>
          <w:numId w:val="0"/>
        </w:numPr>
        <w:jc w:val="both"/>
        <w:rPr>
          <w:rStyle w:val="32"/>
          <w:rFonts w:hint="eastAsia" w:ascii="Times New Roman" w:hAnsi="Times New Roman" w:eastAsia="宋体" w:cs="Times New Roman"/>
          <w:sz w:val="32"/>
          <w:szCs w:val="32"/>
          <w:lang w:val="en-US" w:eastAsia="zh-CN"/>
        </w:rPr>
        <w:sectPr>
          <w:footerReference r:id="rId3" w:type="default"/>
          <w:pgSz w:w="11906" w:h="16838"/>
          <w:pgMar w:top="1440" w:right="1800" w:bottom="1440" w:left="1800" w:header="851" w:footer="992" w:gutter="0"/>
          <w:pgNumType w:start="0"/>
          <w:cols w:space="0" w:num="1"/>
          <w:rtlGutter w:val="0"/>
          <w:docGrid w:type="lines" w:linePitch="312" w:charSpace="0"/>
        </w:sectPr>
      </w:pPr>
    </w:p>
    <w:p/>
    <w:p>
      <w:pPr>
        <w:numPr>
          <w:ilvl w:val="0"/>
          <w:numId w:val="3"/>
        </w:numPr>
        <w:jc w:val="center"/>
        <w:rPr>
          <w:rStyle w:val="32"/>
          <w:rFonts w:hint="eastAsia" w:ascii="Times New Roman" w:hAnsi="Times New Roman" w:eastAsia="宋体" w:cs="Times New Roman"/>
          <w:sz w:val="32"/>
          <w:szCs w:val="32"/>
          <w:lang w:val="en-US" w:eastAsia="zh-CN"/>
        </w:rPr>
      </w:pPr>
      <w:r>
        <w:rPr>
          <w:rStyle w:val="32"/>
          <w:rFonts w:hint="eastAsia" w:ascii="Times New Roman" w:hAnsi="Times New Roman" w:eastAsia="宋体" w:cs="Times New Roman"/>
          <w:sz w:val="32"/>
          <w:szCs w:val="32"/>
          <w:lang w:val="en-US" w:eastAsia="zh-CN"/>
        </w:rPr>
        <w:t>采购清单</w:t>
      </w:r>
    </w:p>
    <w:tbl>
      <w:tblPr>
        <w:tblStyle w:val="18"/>
        <w:tblpPr w:leftFromText="180" w:rightFromText="180" w:vertAnchor="text" w:horzAnchor="page" w:tblpX="1542" w:tblpY="1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990"/>
        <w:gridCol w:w="5015"/>
        <w:gridCol w:w="1168"/>
        <w:gridCol w:w="1024"/>
        <w:gridCol w:w="1486"/>
        <w:gridCol w:w="177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44"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序号</w:t>
            </w:r>
          </w:p>
        </w:tc>
        <w:tc>
          <w:tcPr>
            <w:tcW w:w="990"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名称</w:t>
            </w:r>
          </w:p>
        </w:tc>
        <w:tc>
          <w:tcPr>
            <w:tcW w:w="5015"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型号/</w:t>
            </w:r>
          </w:p>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规格/</w:t>
            </w:r>
          </w:p>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特征描述/参数</w:t>
            </w:r>
          </w:p>
        </w:tc>
        <w:tc>
          <w:tcPr>
            <w:tcW w:w="1168"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单位</w:t>
            </w:r>
          </w:p>
        </w:tc>
        <w:tc>
          <w:tcPr>
            <w:tcW w:w="1024"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数量</w:t>
            </w:r>
          </w:p>
        </w:tc>
        <w:tc>
          <w:tcPr>
            <w:tcW w:w="1486"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综合单价（元）</w:t>
            </w:r>
          </w:p>
        </w:tc>
        <w:tc>
          <w:tcPr>
            <w:tcW w:w="1774"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合计</w:t>
            </w:r>
          </w:p>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（元）</w:t>
            </w:r>
          </w:p>
        </w:tc>
        <w:tc>
          <w:tcPr>
            <w:tcW w:w="1154"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4" w:type="dxa"/>
          </w:tcPr>
          <w:p>
            <w:pPr>
              <w:widowControl/>
              <w:ind w:firstLine="560" w:firstLineChars="200"/>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1</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锂电平衡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重式叉车</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1、起升高度:</w:t>
            </w:r>
            <w:r>
              <w:rPr>
                <w:rFonts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级</w:t>
            </w:r>
            <w:r>
              <w:rPr>
                <w:rFonts w:hint="default" w:ascii="Calibri" w:hAnsi="Calibri" w:eastAsia="宋体" w:cs="Calibri"/>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 xml:space="preserve">米自由提升门架；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2、载荷中心距:</w:t>
            </w:r>
            <w:r>
              <w:rPr>
                <w:rFonts w:hint="default" w:ascii="Calibri" w:hAnsi="Calibri" w:eastAsia="宋体" w:cs="Calibri"/>
                <w:color w:val="000000"/>
                <w:kern w:val="0"/>
                <w:sz w:val="19"/>
                <w:szCs w:val="19"/>
                <w:lang w:val="en-US" w:eastAsia="zh-CN" w:bidi="ar"/>
              </w:rPr>
              <w:t>500mm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3、货叉长度:</w:t>
            </w:r>
            <w:r>
              <w:rPr>
                <w:rFonts w:hint="default" w:ascii="Calibri" w:hAnsi="Calibri" w:eastAsia="宋体" w:cs="Calibri"/>
                <w:color w:val="000000"/>
                <w:kern w:val="0"/>
                <w:sz w:val="19"/>
                <w:szCs w:val="19"/>
                <w:lang w:val="en-US" w:eastAsia="zh-CN" w:bidi="ar"/>
              </w:rPr>
              <w:t>1220mm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4、轮胎：四轮充气轮胎；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5、变速箱:手动电子换挡（自动换挡）；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6、锂电池:磷酸铁锂电池</w:t>
            </w:r>
            <w:r>
              <w:rPr>
                <w:rFonts w:hint="default" w:ascii="Calibri" w:hAnsi="Calibri" w:eastAsia="宋体" w:cs="Calibri"/>
                <w:color w:val="000000"/>
                <w:kern w:val="0"/>
                <w:sz w:val="19"/>
                <w:szCs w:val="19"/>
                <w:lang w:val="en-US" w:eastAsia="zh-CN" w:bidi="ar"/>
              </w:rPr>
              <w:t>80V205AH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7、选配充电机:</w:t>
            </w:r>
            <w:r>
              <w:rPr>
                <w:rFonts w:hint="default" w:ascii="Calibri" w:hAnsi="Calibri" w:eastAsia="宋体" w:cs="Calibri"/>
                <w:color w:val="000000"/>
                <w:kern w:val="0"/>
                <w:sz w:val="19"/>
                <w:szCs w:val="19"/>
                <w:lang w:val="en-US" w:eastAsia="zh-CN" w:bidi="ar"/>
              </w:rPr>
              <w:t>100AH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8、属具:无；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9、额定起重量:</w:t>
            </w:r>
            <w:r>
              <w:rPr>
                <w:rFonts w:hint="default" w:ascii="Calibri" w:hAnsi="Calibri" w:eastAsia="宋体" w:cs="Calibri"/>
                <w:color w:val="000000"/>
                <w:kern w:val="0"/>
                <w:sz w:val="19"/>
                <w:szCs w:val="19"/>
                <w:lang w:val="en-US" w:eastAsia="zh-CN" w:bidi="ar"/>
              </w:rPr>
              <w:t>3000KG</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10、自重:</w:t>
            </w:r>
            <w:r>
              <w:rPr>
                <w:rFonts w:hint="default" w:ascii="Calibri" w:hAnsi="Calibri" w:eastAsia="宋体" w:cs="Calibri"/>
                <w:color w:val="000000"/>
                <w:kern w:val="0"/>
                <w:sz w:val="19"/>
                <w:szCs w:val="19"/>
                <w:lang w:val="en-US" w:eastAsia="zh-CN" w:bidi="ar"/>
              </w:rPr>
              <w:t>4080KG</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11、整车宽度:</w:t>
            </w:r>
            <w:r>
              <w:rPr>
                <w:rFonts w:hint="default" w:ascii="Calibri" w:hAnsi="Calibri" w:eastAsia="宋体" w:cs="Calibri"/>
                <w:color w:val="000000"/>
                <w:kern w:val="0"/>
                <w:sz w:val="19"/>
                <w:szCs w:val="19"/>
                <w:lang w:val="en-US" w:eastAsia="zh-CN" w:bidi="ar"/>
              </w:rPr>
              <w:t>1230</w:t>
            </w:r>
            <w:r>
              <w:rPr>
                <w:rFonts w:hint="eastAsia" w:ascii="宋体" w:hAnsi="宋体" w:eastAsia="宋体" w:cs="宋体"/>
                <w:color w:val="000000"/>
                <w:kern w:val="0"/>
                <w:sz w:val="19"/>
                <w:szCs w:val="19"/>
                <w:lang w:val="en-US" w:eastAsia="zh-CN" w:bidi="ar"/>
              </w:rPr>
              <w:t xml:space="preserve">mm；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12、护顶架/驾驶舱高度:</w:t>
            </w:r>
            <w:r>
              <w:rPr>
                <w:rFonts w:hint="default" w:ascii="Calibri" w:hAnsi="Calibri" w:eastAsia="宋体" w:cs="Calibri"/>
                <w:color w:val="000000"/>
                <w:kern w:val="0"/>
                <w:sz w:val="19"/>
                <w:szCs w:val="19"/>
                <w:lang w:val="en-US" w:eastAsia="zh-CN" w:bidi="ar"/>
              </w:rPr>
              <w:t>2160mm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13、到货叉垂直面的长度:</w:t>
            </w:r>
            <w:r>
              <w:rPr>
                <w:rFonts w:hint="default" w:ascii="Calibri" w:hAnsi="Calibri" w:eastAsia="宋体" w:cs="Calibri"/>
                <w:color w:val="000000"/>
                <w:kern w:val="0"/>
                <w:sz w:val="19"/>
                <w:szCs w:val="19"/>
                <w:lang w:val="en-US" w:eastAsia="zh-CN" w:bidi="ar"/>
              </w:rPr>
              <w:t>2665mm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14、转弯半径:</w:t>
            </w:r>
            <w:r>
              <w:rPr>
                <w:rFonts w:hint="default" w:ascii="Calibri" w:hAnsi="Calibri" w:eastAsia="宋体" w:cs="Calibri"/>
                <w:color w:val="000000"/>
                <w:kern w:val="0"/>
                <w:sz w:val="19"/>
                <w:szCs w:val="19"/>
                <w:lang w:val="en-US" w:eastAsia="zh-CN" w:bidi="ar"/>
              </w:rPr>
              <w:t>2437mm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15、行驶速度，满载/空载:</w:t>
            </w:r>
            <w:r>
              <w:rPr>
                <w:rFonts w:hint="default" w:ascii="Calibri" w:hAnsi="Calibri" w:eastAsia="宋体" w:cs="Calibri"/>
                <w:color w:val="000000"/>
                <w:kern w:val="0"/>
                <w:sz w:val="19"/>
                <w:szCs w:val="19"/>
                <w:lang w:val="en-US" w:eastAsia="zh-CN" w:bidi="ar"/>
              </w:rPr>
              <w:t>11/12 km/h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16、最大爬坡度，满载/空载:</w:t>
            </w:r>
            <w:r>
              <w:rPr>
                <w:rFonts w:hint="default" w:ascii="Calibri" w:hAnsi="Calibri" w:eastAsia="宋体" w:cs="Calibri"/>
                <w:color w:val="000000"/>
                <w:kern w:val="0"/>
                <w:sz w:val="19"/>
                <w:szCs w:val="19"/>
                <w:lang w:val="en-US" w:eastAsia="zh-CN" w:bidi="ar"/>
              </w:rPr>
              <w:t>15/15 km/h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17、动力形式:电动； </w:t>
            </w:r>
          </w:p>
          <w:p>
            <w:pPr>
              <w:keepNext w:val="0"/>
              <w:keepLines w:val="0"/>
              <w:widowControl/>
              <w:suppressLineNumbers w:val="0"/>
              <w:jc w:val="left"/>
              <w:rPr>
                <w:rFonts w:hint="default" w:ascii="Times New Roman" w:hAnsi="Times New Roman" w:cs="Times New Roman"/>
                <w:sz w:val="32"/>
                <w:szCs w:val="32"/>
              </w:rPr>
            </w:pPr>
            <w:r>
              <w:rPr>
                <w:rFonts w:hint="eastAsia" w:ascii="宋体" w:hAnsi="宋体" w:eastAsia="宋体" w:cs="宋体"/>
                <w:color w:val="000000"/>
                <w:kern w:val="0"/>
                <w:sz w:val="19"/>
                <w:szCs w:val="19"/>
                <w:lang w:val="en-US" w:eastAsia="zh-CN" w:bidi="ar"/>
              </w:rPr>
              <w:t xml:space="preserve">18、操作方式:乘驾式； </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台</w:t>
            </w:r>
          </w:p>
        </w:tc>
        <w:tc>
          <w:tcPr>
            <w:tcW w:w="1024" w:type="dxa"/>
          </w:tcPr>
          <w:p>
            <w:pPr>
              <w:tabs>
                <w:tab w:val="left" w:pos="13270"/>
              </w:tabs>
              <w:jc w:val="center"/>
              <w:rPr>
                <w:rFonts w:hint="eastAsia"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1</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90000.00</w:t>
            </w: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90000.00</w:t>
            </w: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44" w:type="dxa"/>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 xml:space="preserve"> 2</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全金属托盘</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ascii="Calibri" w:hAnsi="Calibri" w:eastAsia="宋体" w:cs="Calibri"/>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、尺寸：长度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 xml:space="preserve">、宽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、高度</w:t>
            </w:r>
            <w:r>
              <w:rPr>
                <w:rFonts w:hint="default" w:ascii="Calibri" w:hAnsi="Calibri" w:eastAsia="宋体" w:cs="Calibri"/>
                <w:color w:val="000000"/>
                <w:kern w:val="0"/>
                <w:sz w:val="19"/>
                <w:szCs w:val="19"/>
                <w:lang w:val="en-US" w:eastAsia="zh-CN" w:bidi="ar"/>
              </w:rPr>
              <w:t>150mm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rPr>
                <w:rFonts w:hint="default" w:ascii="Times New Roman" w:hAnsi="Times New Roman" w:cs="Times New Roman"/>
                <w:sz w:val="32"/>
                <w:szCs w:val="32"/>
              </w:rPr>
            </w:pPr>
            <w:r>
              <w:rPr>
                <w:rFonts w:hint="default"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、平面半铺；四面进叉；</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个</w:t>
            </w:r>
          </w:p>
        </w:tc>
        <w:tc>
          <w:tcPr>
            <w:tcW w:w="102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210</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420.00</w:t>
            </w: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88200.00</w:t>
            </w: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4" w:type="dxa"/>
          </w:tcPr>
          <w:p>
            <w:pPr>
              <w:widowControl/>
              <w:jc w:val="center"/>
              <w:textAlignment w:val="center"/>
              <w:rPr>
                <w:rFonts w:hint="eastAsia" w:ascii="Times New Roman" w:hAnsi="Times New Roman" w:eastAsia="仿宋" w:cs="Times New Roman"/>
                <w:kern w:val="0"/>
                <w:sz w:val="28"/>
                <w:szCs w:val="28"/>
                <w:lang w:val="en-US" w:eastAsia="zh-CN" w:bidi="ar"/>
              </w:rPr>
            </w:pPr>
            <w:r>
              <w:rPr>
                <w:rFonts w:hint="eastAsia" w:ascii="Times New Roman" w:hAnsi="Times New Roman" w:eastAsia="仿宋" w:cs="Times New Roman"/>
                <w:kern w:val="0"/>
                <w:sz w:val="28"/>
                <w:szCs w:val="28"/>
                <w:lang w:val="en-US" w:eastAsia="zh-CN" w:bidi="ar"/>
              </w:rPr>
              <w:t>3</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塑料托盘</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ascii="Calibri" w:hAnsi="Calibri" w:eastAsia="宋体" w:cs="Calibri"/>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、尺寸：长度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 xml:space="preserve">、宽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度</w:t>
            </w:r>
            <w:r>
              <w:rPr>
                <w:rFonts w:hint="default" w:ascii="Calibri" w:hAnsi="Calibri" w:eastAsia="宋体" w:cs="Calibri"/>
                <w:color w:val="000000"/>
                <w:kern w:val="0"/>
                <w:sz w:val="19"/>
                <w:szCs w:val="19"/>
                <w:lang w:val="en-US" w:eastAsia="zh-CN" w:bidi="ar"/>
              </w:rPr>
              <w:t>1000mm</w:t>
            </w:r>
            <w:r>
              <w:rPr>
                <w:rFonts w:hint="eastAsia" w:ascii="宋体" w:hAnsi="宋体" w:eastAsia="宋体" w:cs="宋体"/>
                <w:color w:val="000000"/>
                <w:kern w:val="0"/>
                <w:sz w:val="19"/>
                <w:szCs w:val="19"/>
                <w:lang w:val="en-US" w:eastAsia="zh-CN" w:bidi="ar"/>
              </w:rPr>
              <w:t>、高度</w:t>
            </w:r>
            <w:r>
              <w:rPr>
                <w:rFonts w:hint="default" w:ascii="Calibri" w:hAnsi="Calibri" w:eastAsia="宋体" w:cs="Calibri"/>
                <w:color w:val="000000"/>
                <w:kern w:val="0"/>
                <w:sz w:val="19"/>
                <w:szCs w:val="19"/>
                <w:lang w:val="en-US" w:eastAsia="zh-CN" w:bidi="ar"/>
              </w:rPr>
              <w:t>150mm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 xml:space="preserve">、平面满铺、四面进叉； </w:t>
            </w:r>
          </w:p>
          <w:p>
            <w:pPr>
              <w:keepNext w:val="0"/>
              <w:keepLines w:val="0"/>
              <w:widowControl/>
              <w:suppressLineNumbers w:val="0"/>
              <w:jc w:val="left"/>
              <w:rPr>
                <w:rFonts w:hint="default" w:ascii="Times New Roman" w:hAnsi="Times New Roman" w:cs="Times New Roman"/>
                <w:sz w:val="32"/>
                <w:szCs w:val="32"/>
              </w:rPr>
            </w:pPr>
            <w:r>
              <w:rPr>
                <w:rFonts w:hint="default" w:ascii="Calibri" w:hAnsi="Calibri" w:eastAsia="宋体" w:cs="Calibri"/>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、带金属加固；</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个</w:t>
            </w:r>
          </w:p>
        </w:tc>
        <w:tc>
          <w:tcPr>
            <w:tcW w:w="102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250</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228.00</w:t>
            </w: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57000.00</w:t>
            </w: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4" w:type="dxa"/>
          </w:tcPr>
          <w:p>
            <w:pPr>
              <w:widowControl/>
              <w:jc w:val="center"/>
              <w:textAlignment w:val="center"/>
              <w:rPr>
                <w:rFonts w:hint="eastAsia" w:ascii="Times New Roman" w:hAnsi="Times New Roman" w:eastAsia="仿宋" w:cs="Times New Roman"/>
                <w:kern w:val="0"/>
                <w:sz w:val="28"/>
                <w:szCs w:val="28"/>
                <w:lang w:val="en-US" w:eastAsia="zh-CN" w:bidi="ar"/>
              </w:rPr>
            </w:pPr>
            <w:r>
              <w:rPr>
                <w:rFonts w:hint="eastAsia" w:ascii="Times New Roman" w:hAnsi="Times New Roman" w:eastAsia="仿宋" w:cs="Times New Roman"/>
                <w:kern w:val="0"/>
                <w:sz w:val="28"/>
                <w:szCs w:val="28"/>
                <w:lang w:val="en-US" w:eastAsia="zh-CN" w:bidi="ar"/>
              </w:rPr>
              <w:t>4</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木制托盘</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ascii="Calibri" w:hAnsi="Calibri" w:eastAsia="宋体" w:cs="Calibri"/>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、尺寸：长度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 xml:space="preserve">、宽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度</w:t>
            </w:r>
            <w:r>
              <w:rPr>
                <w:rFonts w:hint="default" w:ascii="Calibri" w:hAnsi="Calibri" w:eastAsia="宋体" w:cs="Calibri"/>
                <w:color w:val="000000"/>
                <w:kern w:val="0"/>
                <w:sz w:val="19"/>
                <w:szCs w:val="19"/>
                <w:lang w:val="en-US" w:eastAsia="zh-CN" w:bidi="ar"/>
              </w:rPr>
              <w:t>1000mm</w:t>
            </w:r>
            <w:r>
              <w:rPr>
                <w:rFonts w:hint="eastAsia" w:ascii="宋体" w:hAnsi="宋体" w:eastAsia="宋体" w:cs="宋体"/>
                <w:color w:val="000000"/>
                <w:kern w:val="0"/>
                <w:sz w:val="19"/>
                <w:szCs w:val="19"/>
                <w:lang w:val="en-US" w:eastAsia="zh-CN" w:bidi="ar"/>
              </w:rPr>
              <w:t>、高度</w:t>
            </w:r>
            <w:r>
              <w:rPr>
                <w:rFonts w:hint="default" w:ascii="Calibri" w:hAnsi="Calibri" w:eastAsia="宋体" w:cs="Calibri"/>
                <w:color w:val="000000"/>
                <w:kern w:val="0"/>
                <w:sz w:val="19"/>
                <w:szCs w:val="19"/>
                <w:lang w:val="en-US" w:eastAsia="zh-CN" w:bidi="ar"/>
              </w:rPr>
              <w:t>138mm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 xml:space="preserve">、平面满铺、四面进叉； </w:t>
            </w:r>
          </w:p>
          <w:p>
            <w:pPr>
              <w:keepNext w:val="0"/>
              <w:keepLines w:val="0"/>
              <w:widowControl/>
              <w:suppressLineNumbers w:val="0"/>
              <w:jc w:val="left"/>
              <w:rPr>
                <w:rFonts w:hint="default" w:ascii="Times New Roman" w:hAnsi="Times New Roman" w:cs="Times New Roman"/>
                <w:sz w:val="32"/>
                <w:szCs w:val="32"/>
              </w:rPr>
            </w:pPr>
            <w:r>
              <w:rPr>
                <w:rFonts w:hint="default" w:ascii="Calibri" w:hAnsi="Calibri" w:eastAsia="宋体" w:cs="Calibri"/>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、胶合模板加厚</w:t>
            </w:r>
            <w:r>
              <w:rPr>
                <w:rFonts w:hint="default" w:ascii="Calibri" w:hAnsi="Calibri" w:eastAsia="宋体" w:cs="Calibri"/>
                <w:color w:val="000000"/>
                <w:kern w:val="0"/>
                <w:sz w:val="19"/>
                <w:szCs w:val="19"/>
                <w:lang w:val="en-US" w:eastAsia="zh-CN" w:bidi="ar"/>
              </w:rPr>
              <w:t>1.8cm</w:t>
            </w:r>
            <w:r>
              <w:rPr>
                <w:rFonts w:hint="eastAsia" w:ascii="宋体" w:hAnsi="宋体" w:eastAsia="宋体" w:cs="宋体"/>
                <w:color w:val="000000"/>
                <w:kern w:val="0"/>
                <w:sz w:val="19"/>
                <w:szCs w:val="19"/>
                <w:lang w:val="en-US" w:eastAsia="zh-CN" w:bidi="ar"/>
              </w:rPr>
              <w:t>；</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个</w:t>
            </w:r>
          </w:p>
        </w:tc>
        <w:tc>
          <w:tcPr>
            <w:tcW w:w="102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190</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86.00</w:t>
            </w: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16340.00</w:t>
            </w: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4" w:type="dxa"/>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合计</w:t>
            </w:r>
          </w:p>
        </w:tc>
        <w:tc>
          <w:tcPr>
            <w:tcW w:w="990" w:type="dxa"/>
          </w:tcPr>
          <w:p>
            <w:pPr>
              <w:tabs>
                <w:tab w:val="left" w:pos="13270"/>
              </w:tabs>
              <w:jc w:val="center"/>
              <w:rPr>
                <w:rFonts w:hint="default" w:ascii="Times New Roman" w:hAnsi="Times New Roman" w:cs="Times New Roman"/>
                <w:sz w:val="32"/>
                <w:szCs w:val="32"/>
              </w:rPr>
            </w:pPr>
          </w:p>
        </w:tc>
        <w:tc>
          <w:tcPr>
            <w:tcW w:w="5015" w:type="dxa"/>
          </w:tcPr>
          <w:p>
            <w:pPr>
              <w:tabs>
                <w:tab w:val="left" w:pos="13270"/>
              </w:tabs>
              <w:jc w:val="center"/>
              <w:rPr>
                <w:rFonts w:hint="default" w:ascii="Times New Roman" w:hAnsi="Times New Roman" w:cs="Times New Roman"/>
                <w:sz w:val="32"/>
                <w:szCs w:val="32"/>
              </w:rPr>
            </w:pPr>
          </w:p>
        </w:tc>
        <w:tc>
          <w:tcPr>
            <w:tcW w:w="1168" w:type="dxa"/>
          </w:tcPr>
          <w:p>
            <w:pPr>
              <w:tabs>
                <w:tab w:val="left" w:pos="13270"/>
              </w:tabs>
              <w:jc w:val="center"/>
              <w:rPr>
                <w:rFonts w:hint="default" w:ascii="Times New Roman" w:hAnsi="Times New Roman" w:cs="Times New Roman"/>
                <w:sz w:val="32"/>
                <w:szCs w:val="32"/>
              </w:rPr>
            </w:pPr>
          </w:p>
        </w:tc>
        <w:tc>
          <w:tcPr>
            <w:tcW w:w="1024" w:type="dxa"/>
          </w:tcPr>
          <w:p>
            <w:pPr>
              <w:tabs>
                <w:tab w:val="left" w:pos="13270"/>
              </w:tabs>
              <w:jc w:val="center"/>
              <w:rPr>
                <w:rFonts w:hint="default" w:ascii="Times New Roman" w:hAnsi="Times New Roman" w:cs="Times New Roman"/>
                <w:sz w:val="32"/>
                <w:szCs w:val="32"/>
              </w:rPr>
            </w:pPr>
          </w:p>
        </w:tc>
        <w:tc>
          <w:tcPr>
            <w:tcW w:w="1486" w:type="dxa"/>
          </w:tcPr>
          <w:p>
            <w:pPr>
              <w:tabs>
                <w:tab w:val="left" w:pos="13270"/>
              </w:tabs>
              <w:jc w:val="center"/>
              <w:rPr>
                <w:rFonts w:hint="default" w:ascii="Times New Roman" w:hAnsi="Times New Roman" w:cs="Times New Roman"/>
                <w:sz w:val="32"/>
                <w:szCs w:val="32"/>
              </w:rPr>
            </w:pP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251540.00</w:t>
            </w:r>
          </w:p>
        </w:tc>
        <w:tc>
          <w:tcPr>
            <w:tcW w:w="1154" w:type="dxa"/>
          </w:tcPr>
          <w:p>
            <w:pPr>
              <w:tabs>
                <w:tab w:val="left" w:pos="13270"/>
              </w:tabs>
              <w:jc w:val="center"/>
              <w:rPr>
                <w:rFonts w:hint="default" w:ascii="Times New Roman" w:hAnsi="Times New Roman" w:cs="Times New Roman"/>
                <w:sz w:val="32"/>
                <w:szCs w:val="32"/>
              </w:rPr>
            </w:pPr>
          </w:p>
        </w:tc>
      </w:tr>
    </w:tbl>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注：1. </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、风险、保险、利润、税金、</w:t>
      </w:r>
      <w:r>
        <w:rPr>
          <w:rFonts w:hint="eastAsia" w:asciiTheme="minorEastAsia" w:hAnsiTheme="minorEastAsia" w:eastAsiaTheme="minorEastAsia" w:cstheme="minorEastAsia"/>
          <w:kern w:val="0"/>
          <w:sz w:val="21"/>
          <w:szCs w:val="21"/>
          <w:lang w:val="en-US" w:eastAsia="zh-CN"/>
        </w:rPr>
        <w:t>等费用。</w:t>
      </w:r>
    </w:p>
    <w:p>
      <w:pPr>
        <w:pStyle w:val="2"/>
        <w:rPr>
          <w:rFonts w:hint="eastAsia"/>
        </w:rPr>
        <w:sectPr>
          <w:footerReference r:id="rId4" w:type="default"/>
          <w:pgSz w:w="16838" w:h="11906" w:orient="landscape"/>
          <w:pgMar w:top="1803" w:right="1440" w:bottom="1803" w:left="1440" w:header="851" w:footer="992" w:gutter="0"/>
          <w:pgNumType w:start="0"/>
          <w:cols w:space="0" w:num="1"/>
          <w:rtlGutter w:val="0"/>
          <w:docGrid w:type="lines" w:linePitch="319" w:charSpace="0"/>
        </w:sectPr>
      </w:pPr>
    </w:p>
    <w:p>
      <w:pPr>
        <w:jc w:val="center"/>
        <w:rPr>
          <w:rFonts w:hint="default"/>
          <w:lang w:val="en-US"/>
        </w:rPr>
      </w:pPr>
      <w:bookmarkStart w:id="15" w:name="_Toc21698"/>
      <w:bookmarkStart w:id="16" w:name="_Toc31016"/>
      <w:r>
        <w:rPr>
          <w:rStyle w:val="32"/>
          <w:rFonts w:hint="eastAsia"/>
          <w:sz w:val="32"/>
          <w:szCs w:val="32"/>
          <w:lang w:val="en-US" w:eastAsia="zh-CN"/>
        </w:rPr>
        <w:t>第六章 响应文件格式</w:t>
      </w:r>
      <w:bookmarkEnd w:id="15"/>
      <w:bookmarkEnd w:id="16"/>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六、承诺函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footerReference r:id="rId5" w:type="default"/>
          <w:pgSz w:w="11906" w:h="16838"/>
          <w:pgMar w:top="1440" w:right="1800" w:bottom="1440" w:left="1800" w:header="851" w:footer="992" w:gutter="0"/>
          <w:pgNumType w:start="0"/>
          <w:cols w:space="0" w:num="1"/>
          <w:rtlGutter w:val="0"/>
          <w:docGrid w:type="lines" w:linePitch="312" w:charSpace="0"/>
        </w:sectPr>
      </w:pPr>
    </w:p>
    <w:p>
      <w:pPr>
        <w:jc w:val="cente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报价一览表</w:t>
      </w:r>
    </w:p>
    <w:tbl>
      <w:tblPr>
        <w:tblStyle w:val="18"/>
        <w:tblpPr w:leftFromText="180" w:rightFromText="180" w:vertAnchor="text" w:horzAnchor="page" w:tblpX="1542" w:tblpY="1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990"/>
        <w:gridCol w:w="5015"/>
        <w:gridCol w:w="1168"/>
        <w:gridCol w:w="1024"/>
        <w:gridCol w:w="1486"/>
        <w:gridCol w:w="177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44"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序号</w:t>
            </w:r>
          </w:p>
        </w:tc>
        <w:tc>
          <w:tcPr>
            <w:tcW w:w="990"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名称</w:t>
            </w:r>
          </w:p>
        </w:tc>
        <w:tc>
          <w:tcPr>
            <w:tcW w:w="5015"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型号/</w:t>
            </w:r>
          </w:p>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规格/</w:t>
            </w:r>
          </w:p>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特征描述/参数</w:t>
            </w:r>
          </w:p>
        </w:tc>
        <w:tc>
          <w:tcPr>
            <w:tcW w:w="1168"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单位</w:t>
            </w:r>
          </w:p>
        </w:tc>
        <w:tc>
          <w:tcPr>
            <w:tcW w:w="1024"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数量</w:t>
            </w:r>
          </w:p>
        </w:tc>
        <w:tc>
          <w:tcPr>
            <w:tcW w:w="1486"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综合单价（元）</w:t>
            </w:r>
          </w:p>
        </w:tc>
        <w:tc>
          <w:tcPr>
            <w:tcW w:w="1774"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合计</w:t>
            </w:r>
          </w:p>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（元）</w:t>
            </w:r>
          </w:p>
        </w:tc>
        <w:tc>
          <w:tcPr>
            <w:tcW w:w="1154" w:type="dxa"/>
            <w:vAlign w:val="center"/>
          </w:tcPr>
          <w:p>
            <w:pPr>
              <w:widowControl/>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4" w:type="dxa"/>
          </w:tcPr>
          <w:p>
            <w:pPr>
              <w:widowControl/>
              <w:ind w:firstLine="560" w:firstLineChars="200"/>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1</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锂电平衡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重式叉车</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1、起升高度:</w:t>
            </w:r>
            <w:r>
              <w:rPr>
                <w:rFonts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级</w:t>
            </w:r>
            <w:r>
              <w:rPr>
                <w:rFonts w:hint="default" w:ascii="Calibri" w:hAnsi="Calibri" w:eastAsia="宋体" w:cs="Calibri"/>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 xml:space="preserve">米自由提升门架；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2、载荷中心距:</w:t>
            </w:r>
            <w:r>
              <w:rPr>
                <w:rFonts w:hint="default" w:ascii="Calibri" w:hAnsi="Calibri" w:eastAsia="宋体" w:cs="Calibri"/>
                <w:color w:val="000000"/>
                <w:kern w:val="0"/>
                <w:sz w:val="19"/>
                <w:szCs w:val="19"/>
                <w:lang w:val="en-US" w:eastAsia="zh-CN" w:bidi="ar"/>
              </w:rPr>
              <w:t>500mm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3、货叉长度:</w:t>
            </w:r>
            <w:r>
              <w:rPr>
                <w:rFonts w:hint="default" w:ascii="Calibri" w:hAnsi="Calibri" w:eastAsia="宋体" w:cs="Calibri"/>
                <w:color w:val="000000"/>
                <w:kern w:val="0"/>
                <w:sz w:val="19"/>
                <w:szCs w:val="19"/>
                <w:lang w:val="en-US" w:eastAsia="zh-CN" w:bidi="ar"/>
              </w:rPr>
              <w:t>1220mm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4、轮胎：四轮充气轮胎；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5、变速箱:手动电子换挡（自动换挡）；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6、锂电池:磷酸铁锂电池</w:t>
            </w:r>
            <w:r>
              <w:rPr>
                <w:rFonts w:hint="default" w:ascii="Calibri" w:hAnsi="Calibri" w:eastAsia="宋体" w:cs="Calibri"/>
                <w:color w:val="000000"/>
                <w:kern w:val="0"/>
                <w:sz w:val="19"/>
                <w:szCs w:val="19"/>
                <w:lang w:val="en-US" w:eastAsia="zh-CN" w:bidi="ar"/>
              </w:rPr>
              <w:t>80V205AH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7、选配充电机:</w:t>
            </w:r>
            <w:r>
              <w:rPr>
                <w:rFonts w:hint="default" w:ascii="Calibri" w:hAnsi="Calibri" w:eastAsia="宋体" w:cs="Calibri"/>
                <w:color w:val="000000"/>
                <w:kern w:val="0"/>
                <w:sz w:val="19"/>
                <w:szCs w:val="19"/>
                <w:lang w:val="en-US" w:eastAsia="zh-CN" w:bidi="ar"/>
              </w:rPr>
              <w:t>100AH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8、属具:无；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9、额定起重量:</w:t>
            </w:r>
            <w:r>
              <w:rPr>
                <w:rFonts w:hint="default" w:ascii="Calibri" w:hAnsi="Calibri" w:eastAsia="宋体" w:cs="Calibri"/>
                <w:color w:val="000000"/>
                <w:kern w:val="0"/>
                <w:sz w:val="19"/>
                <w:szCs w:val="19"/>
                <w:lang w:val="en-US" w:eastAsia="zh-CN" w:bidi="ar"/>
              </w:rPr>
              <w:t>3000KG</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10、自重:</w:t>
            </w:r>
            <w:r>
              <w:rPr>
                <w:rFonts w:hint="default" w:ascii="Calibri" w:hAnsi="Calibri" w:eastAsia="宋体" w:cs="Calibri"/>
                <w:color w:val="000000"/>
                <w:kern w:val="0"/>
                <w:sz w:val="19"/>
                <w:szCs w:val="19"/>
                <w:lang w:val="en-US" w:eastAsia="zh-CN" w:bidi="ar"/>
              </w:rPr>
              <w:t>4080KG</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11、整车宽度:</w:t>
            </w:r>
            <w:r>
              <w:rPr>
                <w:rFonts w:hint="default" w:ascii="Calibri" w:hAnsi="Calibri" w:eastAsia="宋体" w:cs="Calibri"/>
                <w:color w:val="000000"/>
                <w:kern w:val="0"/>
                <w:sz w:val="19"/>
                <w:szCs w:val="19"/>
                <w:lang w:val="en-US" w:eastAsia="zh-CN" w:bidi="ar"/>
              </w:rPr>
              <w:t>1230</w:t>
            </w:r>
            <w:r>
              <w:rPr>
                <w:rFonts w:hint="eastAsia" w:ascii="宋体" w:hAnsi="宋体" w:eastAsia="宋体" w:cs="宋体"/>
                <w:color w:val="000000"/>
                <w:kern w:val="0"/>
                <w:sz w:val="19"/>
                <w:szCs w:val="19"/>
                <w:lang w:val="en-US" w:eastAsia="zh-CN" w:bidi="ar"/>
              </w:rPr>
              <w:t xml:space="preserve">mm；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12、护顶架/驾驶舱高度:</w:t>
            </w:r>
            <w:r>
              <w:rPr>
                <w:rFonts w:hint="default" w:ascii="Calibri" w:hAnsi="Calibri" w:eastAsia="宋体" w:cs="Calibri"/>
                <w:color w:val="000000"/>
                <w:kern w:val="0"/>
                <w:sz w:val="19"/>
                <w:szCs w:val="19"/>
                <w:lang w:val="en-US" w:eastAsia="zh-CN" w:bidi="ar"/>
              </w:rPr>
              <w:t>2160mm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13、到货叉垂直面的长度:</w:t>
            </w:r>
            <w:r>
              <w:rPr>
                <w:rFonts w:hint="default" w:ascii="Calibri" w:hAnsi="Calibri" w:eastAsia="宋体" w:cs="Calibri"/>
                <w:color w:val="000000"/>
                <w:kern w:val="0"/>
                <w:sz w:val="19"/>
                <w:szCs w:val="19"/>
                <w:lang w:val="en-US" w:eastAsia="zh-CN" w:bidi="ar"/>
              </w:rPr>
              <w:t>2665mm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14、转弯半径:</w:t>
            </w:r>
            <w:r>
              <w:rPr>
                <w:rFonts w:hint="default" w:ascii="Calibri" w:hAnsi="Calibri" w:eastAsia="宋体" w:cs="Calibri"/>
                <w:color w:val="000000"/>
                <w:kern w:val="0"/>
                <w:sz w:val="19"/>
                <w:szCs w:val="19"/>
                <w:lang w:val="en-US" w:eastAsia="zh-CN" w:bidi="ar"/>
              </w:rPr>
              <w:t>2437mm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15、行驶速度，满载/空载:</w:t>
            </w:r>
            <w:r>
              <w:rPr>
                <w:rFonts w:hint="default" w:ascii="Calibri" w:hAnsi="Calibri" w:eastAsia="宋体" w:cs="Calibri"/>
                <w:color w:val="000000"/>
                <w:kern w:val="0"/>
                <w:sz w:val="19"/>
                <w:szCs w:val="19"/>
                <w:lang w:val="en-US" w:eastAsia="zh-CN" w:bidi="ar"/>
              </w:rPr>
              <w:t>11/12 km/h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16、最大爬坡度，满载/空载:</w:t>
            </w:r>
            <w:r>
              <w:rPr>
                <w:rFonts w:hint="default" w:ascii="Calibri" w:hAnsi="Calibri" w:eastAsia="宋体" w:cs="Calibri"/>
                <w:color w:val="000000"/>
                <w:kern w:val="0"/>
                <w:sz w:val="19"/>
                <w:szCs w:val="19"/>
                <w:lang w:val="en-US" w:eastAsia="zh-CN" w:bidi="ar"/>
              </w:rPr>
              <w:t>15/15 km/h</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17、动力形式:电动； </w:t>
            </w:r>
          </w:p>
          <w:p>
            <w:pPr>
              <w:keepNext w:val="0"/>
              <w:keepLines w:val="0"/>
              <w:widowControl/>
              <w:suppressLineNumbers w:val="0"/>
              <w:jc w:val="left"/>
              <w:rPr>
                <w:rFonts w:hint="default" w:ascii="Times New Roman" w:hAnsi="Times New Roman" w:cs="Times New Roman"/>
                <w:sz w:val="32"/>
                <w:szCs w:val="32"/>
              </w:rPr>
            </w:pPr>
            <w:r>
              <w:rPr>
                <w:rFonts w:hint="eastAsia" w:ascii="宋体" w:hAnsi="宋体" w:eastAsia="宋体" w:cs="宋体"/>
                <w:color w:val="000000"/>
                <w:kern w:val="0"/>
                <w:sz w:val="19"/>
                <w:szCs w:val="19"/>
                <w:lang w:val="en-US" w:eastAsia="zh-CN" w:bidi="ar"/>
              </w:rPr>
              <w:t xml:space="preserve">18、操作方式:乘驾式； </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台</w:t>
            </w:r>
          </w:p>
        </w:tc>
        <w:tc>
          <w:tcPr>
            <w:tcW w:w="1024" w:type="dxa"/>
          </w:tcPr>
          <w:p>
            <w:pPr>
              <w:tabs>
                <w:tab w:val="left" w:pos="13270"/>
              </w:tabs>
              <w:jc w:val="center"/>
              <w:rPr>
                <w:rFonts w:hint="eastAsia"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1</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44" w:type="dxa"/>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 xml:space="preserve"> 2</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全金属托盘</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ascii="Calibri" w:hAnsi="Calibri" w:eastAsia="宋体" w:cs="Calibri"/>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、尺寸：长度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 xml:space="preserve">、宽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、高度</w:t>
            </w:r>
            <w:r>
              <w:rPr>
                <w:rFonts w:hint="default" w:ascii="Calibri" w:hAnsi="Calibri" w:eastAsia="宋体" w:cs="Calibri"/>
                <w:color w:val="000000"/>
                <w:kern w:val="0"/>
                <w:sz w:val="19"/>
                <w:szCs w:val="19"/>
                <w:lang w:val="en-US" w:eastAsia="zh-CN" w:bidi="ar"/>
              </w:rPr>
              <w:t>150mm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rPr>
                <w:rFonts w:hint="default" w:ascii="Times New Roman" w:hAnsi="Times New Roman" w:cs="Times New Roman"/>
                <w:sz w:val="32"/>
                <w:szCs w:val="32"/>
              </w:rPr>
            </w:pPr>
            <w:r>
              <w:rPr>
                <w:rFonts w:hint="default"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、平面半铺；四面进叉；</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个</w:t>
            </w:r>
          </w:p>
        </w:tc>
        <w:tc>
          <w:tcPr>
            <w:tcW w:w="102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210</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4" w:type="dxa"/>
          </w:tcPr>
          <w:p>
            <w:pPr>
              <w:widowControl/>
              <w:jc w:val="center"/>
              <w:textAlignment w:val="center"/>
              <w:rPr>
                <w:rFonts w:hint="eastAsia" w:ascii="Times New Roman" w:hAnsi="Times New Roman" w:eastAsia="仿宋" w:cs="Times New Roman"/>
                <w:kern w:val="0"/>
                <w:sz w:val="28"/>
                <w:szCs w:val="28"/>
                <w:lang w:val="en-US" w:eastAsia="zh-CN" w:bidi="ar"/>
              </w:rPr>
            </w:pPr>
            <w:r>
              <w:rPr>
                <w:rFonts w:hint="eastAsia" w:ascii="Times New Roman" w:hAnsi="Times New Roman" w:eastAsia="仿宋" w:cs="Times New Roman"/>
                <w:kern w:val="0"/>
                <w:sz w:val="28"/>
                <w:szCs w:val="28"/>
                <w:lang w:val="en-US" w:eastAsia="zh-CN" w:bidi="ar"/>
              </w:rPr>
              <w:t>3</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塑料托盘</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ascii="Calibri" w:hAnsi="Calibri" w:eastAsia="宋体" w:cs="Calibri"/>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、尺寸：长度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 xml:space="preserve">、宽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度</w:t>
            </w:r>
            <w:r>
              <w:rPr>
                <w:rFonts w:hint="default" w:ascii="Calibri" w:hAnsi="Calibri" w:eastAsia="宋体" w:cs="Calibri"/>
                <w:color w:val="000000"/>
                <w:kern w:val="0"/>
                <w:sz w:val="19"/>
                <w:szCs w:val="19"/>
                <w:lang w:val="en-US" w:eastAsia="zh-CN" w:bidi="ar"/>
              </w:rPr>
              <w:t>1000mm</w:t>
            </w:r>
            <w:r>
              <w:rPr>
                <w:rFonts w:hint="eastAsia" w:ascii="宋体" w:hAnsi="宋体" w:eastAsia="宋体" w:cs="宋体"/>
                <w:color w:val="000000"/>
                <w:kern w:val="0"/>
                <w:sz w:val="19"/>
                <w:szCs w:val="19"/>
                <w:lang w:val="en-US" w:eastAsia="zh-CN" w:bidi="ar"/>
              </w:rPr>
              <w:t>、高度</w:t>
            </w:r>
            <w:r>
              <w:rPr>
                <w:rFonts w:hint="default" w:ascii="Calibri" w:hAnsi="Calibri" w:eastAsia="宋体" w:cs="Calibri"/>
                <w:color w:val="000000"/>
                <w:kern w:val="0"/>
                <w:sz w:val="19"/>
                <w:szCs w:val="19"/>
                <w:lang w:val="en-US" w:eastAsia="zh-CN" w:bidi="ar"/>
              </w:rPr>
              <w:t>150mm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 xml:space="preserve">、平面满铺、四面进叉； </w:t>
            </w:r>
          </w:p>
          <w:p>
            <w:pPr>
              <w:keepNext w:val="0"/>
              <w:keepLines w:val="0"/>
              <w:widowControl/>
              <w:suppressLineNumbers w:val="0"/>
              <w:jc w:val="left"/>
              <w:rPr>
                <w:rFonts w:hint="default" w:ascii="Times New Roman" w:hAnsi="Times New Roman" w:cs="Times New Roman"/>
                <w:sz w:val="32"/>
                <w:szCs w:val="32"/>
              </w:rPr>
            </w:pPr>
            <w:r>
              <w:rPr>
                <w:rFonts w:hint="default" w:ascii="Calibri" w:hAnsi="Calibri" w:eastAsia="宋体" w:cs="Calibri"/>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、带金属加固；</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个</w:t>
            </w:r>
          </w:p>
        </w:tc>
        <w:tc>
          <w:tcPr>
            <w:tcW w:w="102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250</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4" w:type="dxa"/>
          </w:tcPr>
          <w:p>
            <w:pPr>
              <w:widowControl/>
              <w:jc w:val="center"/>
              <w:textAlignment w:val="center"/>
              <w:rPr>
                <w:rFonts w:hint="eastAsia" w:ascii="Times New Roman" w:hAnsi="Times New Roman" w:eastAsia="仿宋" w:cs="Times New Roman"/>
                <w:kern w:val="0"/>
                <w:sz w:val="28"/>
                <w:szCs w:val="28"/>
                <w:lang w:val="en-US" w:eastAsia="zh-CN" w:bidi="ar"/>
              </w:rPr>
            </w:pPr>
            <w:r>
              <w:rPr>
                <w:rFonts w:hint="eastAsia" w:ascii="Times New Roman" w:hAnsi="Times New Roman" w:eastAsia="仿宋" w:cs="Times New Roman"/>
                <w:kern w:val="0"/>
                <w:sz w:val="28"/>
                <w:szCs w:val="28"/>
                <w:lang w:val="en-US" w:eastAsia="zh-CN" w:bidi="ar"/>
              </w:rPr>
              <w:t>4</w:t>
            </w:r>
          </w:p>
        </w:tc>
        <w:tc>
          <w:tcPr>
            <w:tcW w:w="990" w:type="dxa"/>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木制托盘</w:t>
            </w:r>
          </w:p>
          <w:p>
            <w:pPr>
              <w:tabs>
                <w:tab w:val="left" w:pos="13270"/>
              </w:tabs>
              <w:jc w:val="center"/>
              <w:rPr>
                <w:rFonts w:hint="default" w:ascii="Times New Roman" w:hAnsi="Times New Roman" w:cs="Times New Roman"/>
                <w:sz w:val="32"/>
                <w:szCs w:val="32"/>
              </w:rPr>
            </w:pPr>
          </w:p>
        </w:tc>
        <w:tc>
          <w:tcPr>
            <w:tcW w:w="5015" w:type="dxa"/>
          </w:tcPr>
          <w:p>
            <w:pPr>
              <w:keepNext w:val="0"/>
              <w:keepLines w:val="0"/>
              <w:widowControl/>
              <w:suppressLineNumbers w:val="0"/>
              <w:jc w:val="left"/>
            </w:pPr>
            <w:r>
              <w:rPr>
                <w:rFonts w:ascii="Calibri" w:hAnsi="Calibri" w:eastAsia="宋体" w:cs="Calibri"/>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、尺寸：长度</w:t>
            </w:r>
            <w:r>
              <w:rPr>
                <w:rFonts w:hint="default" w:ascii="Calibri" w:hAnsi="Calibri" w:eastAsia="宋体" w:cs="Calibri"/>
                <w:color w:val="000000"/>
                <w:kern w:val="0"/>
                <w:sz w:val="19"/>
                <w:szCs w:val="19"/>
                <w:lang w:val="en-US" w:eastAsia="zh-CN" w:bidi="ar"/>
              </w:rPr>
              <w:t>1200mm</w:t>
            </w:r>
            <w:r>
              <w:rPr>
                <w:rFonts w:hint="eastAsia" w:ascii="宋体" w:hAnsi="宋体" w:eastAsia="宋体" w:cs="宋体"/>
                <w:color w:val="000000"/>
                <w:kern w:val="0"/>
                <w:sz w:val="19"/>
                <w:szCs w:val="19"/>
                <w:lang w:val="en-US" w:eastAsia="zh-CN" w:bidi="ar"/>
              </w:rPr>
              <w:t xml:space="preserve">、宽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度</w:t>
            </w:r>
            <w:r>
              <w:rPr>
                <w:rFonts w:hint="default" w:ascii="Calibri" w:hAnsi="Calibri" w:eastAsia="宋体" w:cs="Calibri"/>
                <w:color w:val="000000"/>
                <w:kern w:val="0"/>
                <w:sz w:val="19"/>
                <w:szCs w:val="19"/>
                <w:lang w:val="en-US" w:eastAsia="zh-CN" w:bidi="ar"/>
              </w:rPr>
              <w:t>1000mm</w:t>
            </w:r>
            <w:r>
              <w:rPr>
                <w:rFonts w:hint="eastAsia" w:ascii="宋体" w:hAnsi="宋体" w:eastAsia="宋体" w:cs="宋体"/>
                <w:color w:val="000000"/>
                <w:kern w:val="0"/>
                <w:sz w:val="19"/>
                <w:szCs w:val="19"/>
                <w:lang w:val="en-US" w:eastAsia="zh-CN" w:bidi="ar"/>
              </w:rPr>
              <w:t>、高度</w:t>
            </w:r>
            <w:r>
              <w:rPr>
                <w:rFonts w:hint="default" w:ascii="Calibri" w:hAnsi="Calibri" w:eastAsia="宋体" w:cs="Calibri"/>
                <w:color w:val="000000"/>
                <w:kern w:val="0"/>
                <w:sz w:val="19"/>
                <w:szCs w:val="19"/>
                <w:lang w:val="en-US" w:eastAsia="zh-CN" w:bidi="ar"/>
              </w:rPr>
              <w:t>138mm</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default" w:ascii="Calibri" w:hAnsi="Calibri" w:eastAsia="宋体" w:cs="Calibri"/>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 xml:space="preserve">、平面满铺、四面进叉； </w:t>
            </w:r>
          </w:p>
          <w:p>
            <w:pPr>
              <w:keepNext w:val="0"/>
              <w:keepLines w:val="0"/>
              <w:widowControl/>
              <w:suppressLineNumbers w:val="0"/>
              <w:jc w:val="left"/>
              <w:rPr>
                <w:rFonts w:hint="default" w:ascii="Times New Roman" w:hAnsi="Times New Roman" w:cs="Times New Roman"/>
                <w:sz w:val="32"/>
                <w:szCs w:val="32"/>
              </w:rPr>
            </w:pPr>
            <w:r>
              <w:rPr>
                <w:rFonts w:hint="default" w:ascii="Calibri" w:hAnsi="Calibri" w:eastAsia="宋体" w:cs="Calibri"/>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、胶合模板加厚</w:t>
            </w:r>
            <w:r>
              <w:rPr>
                <w:rFonts w:hint="default" w:ascii="Calibri" w:hAnsi="Calibri" w:eastAsia="宋体" w:cs="Calibri"/>
                <w:color w:val="000000"/>
                <w:kern w:val="0"/>
                <w:sz w:val="19"/>
                <w:szCs w:val="19"/>
                <w:lang w:val="en-US" w:eastAsia="zh-CN" w:bidi="ar"/>
              </w:rPr>
              <w:t>1.8cm</w:t>
            </w:r>
            <w:r>
              <w:rPr>
                <w:rFonts w:hint="eastAsia" w:ascii="宋体" w:hAnsi="宋体" w:eastAsia="宋体" w:cs="宋体"/>
                <w:color w:val="000000"/>
                <w:kern w:val="0"/>
                <w:sz w:val="19"/>
                <w:szCs w:val="19"/>
                <w:lang w:val="en-US" w:eastAsia="zh-CN" w:bidi="ar"/>
              </w:rPr>
              <w:t>；</w:t>
            </w:r>
          </w:p>
        </w:tc>
        <w:tc>
          <w:tcPr>
            <w:tcW w:w="1168" w:type="dxa"/>
          </w:tcPr>
          <w:p>
            <w:pPr>
              <w:tabs>
                <w:tab w:val="left" w:pos="13270"/>
              </w:tabs>
              <w:jc w:val="center"/>
              <w:rPr>
                <w:rFonts w:hint="eastAsia" w:ascii="Times New Roman" w:hAnsi="Times New Roman" w:cs="Times New Roman" w:eastAsiaTheme="minorEastAsia"/>
                <w:sz w:val="32"/>
                <w:szCs w:val="32"/>
                <w:lang w:eastAsia="zh-CN"/>
              </w:rPr>
            </w:pPr>
            <w:r>
              <w:rPr>
                <w:rFonts w:hint="eastAsia" w:ascii="Times New Roman" w:hAnsi="Times New Roman" w:cs="Times New Roman"/>
                <w:sz w:val="32"/>
                <w:szCs w:val="32"/>
                <w:lang w:eastAsia="zh-CN"/>
              </w:rPr>
              <w:t>个</w:t>
            </w:r>
          </w:p>
        </w:tc>
        <w:tc>
          <w:tcPr>
            <w:tcW w:w="1024" w:type="dxa"/>
          </w:tcPr>
          <w:p>
            <w:pPr>
              <w:tabs>
                <w:tab w:val="left" w:pos="13270"/>
              </w:tabs>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190</w:t>
            </w:r>
          </w:p>
        </w:tc>
        <w:tc>
          <w:tcPr>
            <w:tcW w:w="1486"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154" w:type="dxa"/>
          </w:tcPr>
          <w:p>
            <w:pPr>
              <w:tabs>
                <w:tab w:val="left" w:pos="13270"/>
              </w:tabs>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4" w:type="dxa"/>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合计</w:t>
            </w:r>
          </w:p>
        </w:tc>
        <w:tc>
          <w:tcPr>
            <w:tcW w:w="990" w:type="dxa"/>
          </w:tcPr>
          <w:p>
            <w:pPr>
              <w:tabs>
                <w:tab w:val="left" w:pos="13270"/>
              </w:tabs>
              <w:jc w:val="center"/>
              <w:rPr>
                <w:rFonts w:hint="default" w:ascii="Times New Roman" w:hAnsi="Times New Roman" w:cs="Times New Roman"/>
                <w:sz w:val="32"/>
                <w:szCs w:val="32"/>
              </w:rPr>
            </w:pPr>
          </w:p>
        </w:tc>
        <w:tc>
          <w:tcPr>
            <w:tcW w:w="5015" w:type="dxa"/>
          </w:tcPr>
          <w:p>
            <w:pPr>
              <w:tabs>
                <w:tab w:val="left" w:pos="13270"/>
              </w:tabs>
              <w:jc w:val="center"/>
              <w:rPr>
                <w:rFonts w:hint="default" w:ascii="Times New Roman" w:hAnsi="Times New Roman" w:cs="Times New Roman"/>
                <w:sz w:val="32"/>
                <w:szCs w:val="32"/>
              </w:rPr>
            </w:pPr>
          </w:p>
        </w:tc>
        <w:tc>
          <w:tcPr>
            <w:tcW w:w="1168" w:type="dxa"/>
          </w:tcPr>
          <w:p>
            <w:pPr>
              <w:tabs>
                <w:tab w:val="left" w:pos="13270"/>
              </w:tabs>
              <w:jc w:val="center"/>
              <w:rPr>
                <w:rFonts w:hint="default" w:ascii="Times New Roman" w:hAnsi="Times New Roman" w:cs="Times New Roman"/>
                <w:sz w:val="32"/>
                <w:szCs w:val="32"/>
              </w:rPr>
            </w:pPr>
          </w:p>
        </w:tc>
        <w:tc>
          <w:tcPr>
            <w:tcW w:w="1024" w:type="dxa"/>
          </w:tcPr>
          <w:p>
            <w:pPr>
              <w:tabs>
                <w:tab w:val="left" w:pos="13270"/>
              </w:tabs>
              <w:jc w:val="center"/>
              <w:rPr>
                <w:rFonts w:hint="default" w:ascii="Times New Roman" w:hAnsi="Times New Roman" w:cs="Times New Roman"/>
                <w:sz w:val="32"/>
                <w:szCs w:val="32"/>
              </w:rPr>
            </w:pPr>
          </w:p>
        </w:tc>
        <w:tc>
          <w:tcPr>
            <w:tcW w:w="1486" w:type="dxa"/>
          </w:tcPr>
          <w:p>
            <w:pPr>
              <w:tabs>
                <w:tab w:val="left" w:pos="13270"/>
              </w:tabs>
              <w:jc w:val="center"/>
              <w:rPr>
                <w:rFonts w:hint="default" w:ascii="Times New Roman" w:hAnsi="Times New Roman" w:cs="Times New Roman"/>
                <w:sz w:val="32"/>
                <w:szCs w:val="32"/>
              </w:rPr>
            </w:pPr>
          </w:p>
        </w:tc>
        <w:tc>
          <w:tcPr>
            <w:tcW w:w="1774" w:type="dxa"/>
          </w:tcPr>
          <w:p>
            <w:pPr>
              <w:tabs>
                <w:tab w:val="left" w:pos="13270"/>
              </w:tabs>
              <w:jc w:val="center"/>
              <w:rPr>
                <w:rFonts w:hint="default" w:ascii="Times New Roman" w:hAnsi="Times New Roman" w:cs="Times New Roman" w:eastAsiaTheme="minorEastAsia"/>
                <w:sz w:val="32"/>
                <w:szCs w:val="32"/>
                <w:lang w:val="en-US" w:eastAsia="zh-CN"/>
              </w:rPr>
            </w:pPr>
          </w:p>
        </w:tc>
        <w:tc>
          <w:tcPr>
            <w:tcW w:w="1154" w:type="dxa"/>
          </w:tcPr>
          <w:p>
            <w:pPr>
              <w:tabs>
                <w:tab w:val="left" w:pos="13270"/>
              </w:tabs>
              <w:jc w:val="center"/>
              <w:rPr>
                <w:rFonts w:hint="default" w:ascii="Times New Roman" w:hAnsi="Times New Roman" w:cs="Times New Roman"/>
                <w:sz w:val="32"/>
                <w:szCs w:val="32"/>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rPr>
          <w:rFonts w:ascii="仿宋" w:hAnsi="仿宋" w:eastAsia="仿宋" w:cs="仿宋"/>
          <w:b/>
          <w:bCs/>
          <w:sz w:val="32"/>
          <w:szCs w:val="32"/>
        </w:rPr>
      </w:pPr>
    </w:p>
    <w:p>
      <w:pPr>
        <w:pStyle w:val="5"/>
        <w:spacing w:line="360" w:lineRule="auto"/>
        <w:jc w:val="center"/>
        <w:outlineLvl w:val="0"/>
        <w:rPr>
          <w:rFonts w:hint="eastAsia" w:ascii="宋体" w:hAnsi="宋体" w:eastAsia="宋体" w:cs="宋体"/>
          <w:color w:val="auto"/>
          <w:kern w:val="0"/>
          <w:sz w:val="24"/>
          <w:szCs w:val="24"/>
        </w:rPr>
      </w:pPr>
      <w:bookmarkStart w:id="17" w:name="_Toc8041"/>
      <w:bookmarkStart w:id="18" w:name="_Toc4838"/>
      <w:bookmarkStart w:id="19" w:name="_Toc15603"/>
      <w:bookmarkStart w:id="20" w:name="_Toc27003"/>
      <w:bookmarkStart w:id="21" w:name="_Toc2126"/>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7"/>
      <w:bookmarkEnd w:id="18"/>
      <w:bookmarkEnd w:id="19"/>
      <w:bookmarkEnd w:id="20"/>
      <w:bookmarkEnd w:id="21"/>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五、其他内容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7229384B"/>
    <w:multiLevelType w:val="singleLevel"/>
    <w:tmpl w:val="7229384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A409A3"/>
    <w:rsid w:val="03FE50A8"/>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E2508DD"/>
    <w:rsid w:val="30DF09C4"/>
    <w:rsid w:val="315129B8"/>
    <w:rsid w:val="330D43D7"/>
    <w:rsid w:val="33810EEB"/>
    <w:rsid w:val="35F04E8D"/>
    <w:rsid w:val="38FA2D16"/>
    <w:rsid w:val="392431AB"/>
    <w:rsid w:val="3B6D3E63"/>
    <w:rsid w:val="3BB053C8"/>
    <w:rsid w:val="3CAD07EE"/>
    <w:rsid w:val="3CFE4AEE"/>
    <w:rsid w:val="3D086084"/>
    <w:rsid w:val="3D1244A5"/>
    <w:rsid w:val="3DA91236"/>
    <w:rsid w:val="3F4E4D93"/>
    <w:rsid w:val="40831CAD"/>
    <w:rsid w:val="43A22D23"/>
    <w:rsid w:val="46010541"/>
    <w:rsid w:val="47043556"/>
    <w:rsid w:val="48B972F3"/>
    <w:rsid w:val="4A6A6325"/>
    <w:rsid w:val="4C405D8D"/>
    <w:rsid w:val="4C570EAE"/>
    <w:rsid w:val="4C8D1B15"/>
    <w:rsid w:val="4CF8129A"/>
    <w:rsid w:val="4FB63413"/>
    <w:rsid w:val="524F3D6B"/>
    <w:rsid w:val="526813EF"/>
    <w:rsid w:val="54625F54"/>
    <w:rsid w:val="57217F7A"/>
    <w:rsid w:val="57556FB3"/>
    <w:rsid w:val="586A0CB6"/>
    <w:rsid w:val="5A606D0E"/>
    <w:rsid w:val="5ADC30C6"/>
    <w:rsid w:val="5CF525C4"/>
    <w:rsid w:val="5E954A0B"/>
    <w:rsid w:val="6C114B33"/>
    <w:rsid w:val="6D815849"/>
    <w:rsid w:val="70F4419F"/>
    <w:rsid w:val="76B626AB"/>
    <w:rsid w:val="77175742"/>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character" w:customStyle="1" w:styleId="32">
    <w:name w:val="标题 1 Char"/>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24</Pages>
  <Words>7415</Words>
  <Characters>7965</Characters>
  <Lines>1</Lines>
  <Paragraphs>1</Paragraphs>
  <TotalTime>15</TotalTime>
  <ScaleCrop>false</ScaleCrop>
  <LinksUpToDate>false</LinksUpToDate>
  <CharactersWithSpaces>8696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2023-04-24T00:50:45Z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BDA47D2D81774579949A6C9F730A2BFB_13</vt:lpwstr>
  </property>
</Properties>
</file>