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52"/>
          <w:szCs w:val="52"/>
          <w:lang w:val="en-US" w:eastAsia="zh-CN"/>
        </w:rPr>
      </w:pPr>
      <w:r>
        <w:rPr>
          <w:rFonts w:hint="eastAsia" w:ascii="黑体" w:hAnsi="黑体" w:eastAsia="黑体" w:cs="黑体"/>
          <w:b/>
          <w:color w:val="000000"/>
          <w:sz w:val="52"/>
          <w:szCs w:val="52"/>
          <w:lang w:val="en-US" w:eastAsia="zh-CN"/>
        </w:rPr>
        <w:t>合江县生活垃圾收转运设施建设项目设备采购（第一批）项目</w:t>
      </w:r>
    </w:p>
    <w:p>
      <w:pPr>
        <w:jc w:val="center"/>
        <w:rPr>
          <w:rFonts w:hint="eastAsia" w:ascii="黑体" w:hAnsi="黑体" w:eastAsia="黑体" w:cs="黑体"/>
          <w:b/>
          <w:color w:val="000000"/>
          <w:sz w:val="88"/>
          <w:szCs w:val="88"/>
        </w:rPr>
      </w:pPr>
      <w:r>
        <w:rPr>
          <w:rFonts w:hint="eastAsia" w:ascii="黑体" w:hAnsi="黑体" w:eastAsia="黑体" w:cs="黑体"/>
          <w:b/>
          <w:color w:val="000000"/>
          <w:sz w:val="52"/>
          <w:szCs w:val="52"/>
          <w:lang w:val="en-US" w:eastAsia="zh-CN"/>
        </w:rPr>
        <w:t>询价采购</w:t>
      </w:r>
    </w:p>
    <w:p>
      <w:pPr>
        <w:jc w:val="center"/>
        <w:rPr>
          <w:rFonts w:hint="eastAsia" w:ascii="黑体" w:hAnsi="黑体" w:eastAsia="黑体" w:cs="黑体"/>
          <w:b/>
          <w:color w:val="000000"/>
          <w:sz w:val="88"/>
          <w:szCs w:val="88"/>
        </w:rPr>
      </w:pPr>
    </w:p>
    <w:p>
      <w:pPr>
        <w:jc w:val="center"/>
        <w:rPr>
          <w:rFonts w:hint="eastAsia" w:ascii="黑体" w:hAnsi="黑体" w:eastAsia="黑体" w:cs="黑体"/>
          <w:b/>
          <w:color w:val="000000"/>
          <w:sz w:val="88"/>
          <w:szCs w:val="8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23"/>
      </w:pPr>
    </w:p>
    <w:p>
      <w:pPr>
        <w:rPr>
          <w:b/>
          <w:color w:val="000000"/>
          <w:sz w:val="40"/>
          <w:szCs w:val="40"/>
        </w:rPr>
      </w:pPr>
    </w:p>
    <w:p>
      <w:pPr>
        <w:jc w:val="center"/>
        <w:rPr>
          <w:rFonts w:hint="eastAsia" w:ascii="黑体" w:hAnsi="黑体" w:eastAsia="黑体" w:cs="黑体"/>
          <w:b/>
          <w:sz w:val="28"/>
          <w:lang w:val="en-US" w:eastAsia="zh-CN"/>
        </w:rPr>
      </w:pPr>
      <w:r>
        <w:rPr>
          <w:rFonts w:hint="eastAsia" w:ascii="黑体" w:hAnsi="黑体" w:eastAsia="黑体" w:cs="黑体"/>
          <w:b/>
          <w:color w:val="000000"/>
          <w:sz w:val="28"/>
        </w:rPr>
        <w:t>采购人：</w:t>
      </w:r>
      <w:r>
        <w:rPr>
          <w:rFonts w:hint="eastAsia" w:ascii="黑体" w:hAnsi="黑体" w:eastAsia="黑体" w:cs="黑体"/>
          <w:b/>
          <w:sz w:val="28"/>
          <w:lang w:val="en-US" w:eastAsia="zh-CN"/>
        </w:rPr>
        <w:t>合江县城市开发投资（集团）有限公司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7</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4"/>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p>
        <w:p>
          <w:pPr>
            <w:pStyle w:val="14"/>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fldChar w:fldCharType="begin"/>
          </w:r>
          <w:r>
            <w:instrText xml:space="preserve"> PAGEREF _Toc324 \h </w:instrText>
          </w:r>
          <w:r>
            <w:fldChar w:fldCharType="separate"/>
          </w:r>
          <w:r>
            <w:t>8</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_Toc7798 </w:instrText>
          </w:r>
          <w:r>
            <w:fldChar w:fldCharType="separate"/>
          </w:r>
          <w:r>
            <w:rPr>
              <w:rFonts w:hint="eastAsia"/>
              <w:szCs w:val="32"/>
              <w:lang w:val="en-US" w:eastAsia="zh-CN"/>
            </w:rPr>
            <w:t>第五章 采购人要求</w:t>
          </w:r>
          <w:r>
            <w:tab/>
          </w:r>
          <w:r>
            <w:fldChar w:fldCharType="begin"/>
          </w:r>
          <w:r>
            <w:instrText xml:space="preserve"> PAGEREF _Toc7798 \h </w:instrText>
          </w:r>
          <w:r>
            <w:fldChar w:fldCharType="separate"/>
          </w:r>
          <w:r>
            <w:t>9</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_Toc21698 </w:instrText>
          </w:r>
          <w:r>
            <w:fldChar w:fldCharType="separate"/>
          </w:r>
          <w:r>
            <w:rPr>
              <w:rFonts w:hint="eastAsia"/>
              <w:szCs w:val="32"/>
              <w:lang w:val="en-US" w:eastAsia="zh-CN"/>
            </w:rPr>
            <w:t>第六章 响应文件格式</w:t>
          </w:r>
          <w:r>
            <w:tab/>
          </w:r>
          <w:r>
            <w:fldChar w:fldCharType="begin"/>
          </w:r>
          <w:r>
            <w:instrText xml:space="preserve"> PAGEREF _Toc21698 \h </w:instrText>
          </w:r>
          <w:r>
            <w:fldChar w:fldCharType="separate"/>
          </w:r>
          <w:r>
            <w:t>10</w:t>
          </w:r>
          <w:r>
            <w:fldChar w:fldCharType="end"/>
          </w:r>
          <w:r>
            <w:rPr>
              <w:color w:val="000000"/>
            </w:rPr>
            <w:fldChar w:fldCharType="end"/>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4"/>
        <w:bidi w:val="0"/>
        <w:jc w:val="center"/>
      </w:pPr>
      <w:bookmarkStart w:id="0" w:name="_Hlt101843627"/>
      <w:bookmarkEnd w:id="0"/>
      <w:bookmarkStart w:id="1" w:name="_Hlt101233737"/>
      <w:bookmarkEnd w:id="1"/>
      <w:bookmarkStart w:id="2" w:name="_Toc26975438"/>
      <w:bookmarkStart w:id="3" w:name="_Toc5869720"/>
      <w:r>
        <w:rPr>
          <w:rFonts w:hint="eastAsia" w:cs="黑体" w:asciiTheme="minorEastAsia" w:hAnsiTheme="minorEastAsia"/>
          <w:sz w:val="32"/>
          <w:szCs w:val="32"/>
        </w:rPr>
        <w:br w:type="page"/>
      </w:r>
      <w:bookmarkStart w:id="4" w:name="_Toc23355"/>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u w:val="single"/>
          <w:lang w:val="en-US" w:eastAsia="zh-CN" w:bidi="ar"/>
        </w:rPr>
        <w:t xml:space="preserve">  合江县城市开发投资（集团）有限公司</w:t>
      </w:r>
      <w:r>
        <w:rPr>
          <w:rFonts w:hint="eastAsia" w:asciiTheme="minorEastAsia" w:hAnsiTheme="minorEastAsia" w:eastAsiaTheme="minorEastAsia" w:cstheme="minorEastAsia"/>
          <w:color w:val="000000"/>
          <w:kern w:val="0"/>
          <w:sz w:val="21"/>
          <w:szCs w:val="21"/>
          <w:lang w:val="en-US" w:eastAsia="zh-CN" w:bidi="ar"/>
        </w:rPr>
        <w:t>就</w:t>
      </w:r>
      <w:r>
        <w:rPr>
          <w:rFonts w:hint="eastAsia" w:asciiTheme="minorEastAsia" w:hAnsiTheme="minorEastAsia" w:cstheme="minorEastAsia"/>
          <w:color w:val="000000"/>
          <w:kern w:val="0"/>
          <w:sz w:val="21"/>
          <w:szCs w:val="21"/>
          <w:u w:val="single"/>
          <w:lang w:val="en-US" w:eastAsia="zh-CN" w:bidi="ar"/>
        </w:rPr>
        <w:t>合江县生活垃圾收转运设施建设项目设备采购（第一批）项目</w:t>
      </w:r>
      <w:r>
        <w:rPr>
          <w:rFonts w:hint="eastAsia" w:asciiTheme="minorEastAsia" w:hAnsiTheme="minorEastAsia" w:eastAsiaTheme="minorEastAsia" w:cstheme="minorEastAsia"/>
          <w:color w:val="000000"/>
          <w:kern w:val="0"/>
          <w:sz w:val="21"/>
          <w:szCs w:val="21"/>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一、采购项目概况 </w:t>
      </w:r>
    </w:p>
    <w:p>
      <w:pPr>
        <w:spacing w:line="336" w:lineRule="auto"/>
        <w:ind w:right="31" w:rightChars="15" w:firstLine="420" w:firstLineChars="200"/>
        <w:rPr>
          <w:rFonts w:hint="eastAsia"/>
          <w:color w:val="000000"/>
          <w:szCs w:val="21"/>
          <w:lang w:val="en-US" w:eastAsia="zh-CN"/>
        </w:rPr>
      </w:pPr>
      <w:r>
        <w:rPr>
          <w:rFonts w:hint="eastAsia"/>
          <w:color w:val="000000"/>
          <w:szCs w:val="21"/>
        </w:rPr>
        <w:t>1</w:t>
      </w:r>
      <w:r>
        <w:rPr>
          <w:rFonts w:hint="eastAsia"/>
          <w:color w:val="000000"/>
          <w:szCs w:val="21"/>
          <w:lang w:eastAsia="zh-CN"/>
        </w:rPr>
        <w:t>、</w:t>
      </w:r>
      <w:r>
        <w:rPr>
          <w:rFonts w:hint="eastAsia"/>
          <w:color w:val="000000"/>
          <w:szCs w:val="21"/>
        </w:rPr>
        <w:t>采购项目名称：</w:t>
      </w:r>
      <w:r>
        <w:rPr>
          <w:rFonts w:hint="eastAsia"/>
          <w:color w:val="000000"/>
          <w:szCs w:val="21"/>
          <w:lang w:val="en-US" w:eastAsia="zh-CN"/>
        </w:rPr>
        <w:t>合江县生活垃圾收转运设施建设项目设备采购（第一批）项目询价采购</w:t>
      </w:r>
    </w:p>
    <w:p>
      <w:pPr>
        <w:spacing w:line="336" w:lineRule="auto"/>
        <w:ind w:right="31" w:rightChars="15" w:firstLine="420" w:firstLineChars="200"/>
        <w:rPr>
          <w:rFonts w:hint="eastAsia" w:eastAsiaTheme="minorEastAsia"/>
          <w:b/>
          <w:bCs/>
          <w:szCs w:val="21"/>
          <w:lang w:eastAsia="zh-CN"/>
        </w:rPr>
      </w:pPr>
      <w:r>
        <w:rPr>
          <w:rFonts w:hint="eastAsia"/>
          <w:szCs w:val="21"/>
        </w:rPr>
        <w:t>2</w:t>
      </w:r>
      <w:r>
        <w:rPr>
          <w:rFonts w:hint="eastAsia"/>
          <w:szCs w:val="21"/>
          <w:lang w:eastAsia="zh-CN"/>
        </w:rPr>
        <w:t>、</w:t>
      </w:r>
      <w:r>
        <w:rPr>
          <w:rFonts w:hint="eastAsia"/>
          <w:szCs w:val="21"/>
        </w:rPr>
        <w:t>资金来源：</w:t>
      </w:r>
      <w:r>
        <w:rPr>
          <w:rFonts w:hint="eastAsia"/>
          <w:color w:val="0000FF"/>
          <w:szCs w:val="21"/>
          <w:lang w:val="en-US" w:eastAsia="zh-CN"/>
        </w:rPr>
        <w:t xml:space="preserve">上级补助及自筹  </w:t>
      </w:r>
    </w:p>
    <w:p>
      <w:pPr>
        <w:spacing w:line="336" w:lineRule="auto"/>
        <w:ind w:firstLine="420" w:firstLineChars="200"/>
        <w:rPr>
          <w:rFonts w:hint="eastAsia" w:eastAsiaTheme="minorEastAsia"/>
          <w:color w:val="000000"/>
          <w:szCs w:val="21"/>
          <w:lang w:eastAsia="zh-CN"/>
        </w:rPr>
      </w:pPr>
      <w:r>
        <w:rPr>
          <w:rFonts w:hint="eastAsia"/>
          <w:color w:val="000000"/>
          <w:szCs w:val="21"/>
        </w:rPr>
        <w:t>3</w:t>
      </w:r>
      <w:r>
        <w:rPr>
          <w:rFonts w:hint="eastAsia"/>
          <w:color w:val="000000"/>
          <w:szCs w:val="21"/>
          <w:lang w:eastAsia="zh-CN"/>
        </w:rPr>
        <w:t>、</w:t>
      </w:r>
      <w:r>
        <w:rPr>
          <w:rFonts w:hint="eastAsia"/>
          <w:color w:val="000000"/>
          <w:szCs w:val="21"/>
        </w:rPr>
        <w:t>采购项目内容及预算资金：</w:t>
      </w:r>
      <w:r>
        <w:rPr>
          <w:rFonts w:hint="eastAsia"/>
          <w:color w:val="000000"/>
          <w:szCs w:val="21"/>
          <w:lang w:val="en-US" w:eastAsia="zh-CN"/>
        </w:rPr>
        <w:t>控制价486000.00元。</w:t>
      </w:r>
    </w:p>
    <w:p>
      <w:pPr>
        <w:spacing w:line="336" w:lineRule="auto"/>
        <w:ind w:firstLine="420" w:firstLineChars="200"/>
        <w:rPr>
          <w:rFonts w:hint="default"/>
          <w:color w:val="000000"/>
          <w:szCs w:val="21"/>
          <w:lang w:val="en-US" w:eastAsia="zh-CN"/>
        </w:rPr>
      </w:pPr>
      <w:r>
        <w:rPr>
          <w:rFonts w:hint="eastAsia"/>
          <w:color w:val="000000"/>
          <w:szCs w:val="21"/>
        </w:rPr>
        <w:t>4</w:t>
      </w:r>
      <w:r>
        <w:rPr>
          <w:rFonts w:hint="eastAsia"/>
          <w:color w:val="000000"/>
          <w:szCs w:val="21"/>
          <w:lang w:eastAsia="zh-CN"/>
        </w:rPr>
        <w:t>、</w:t>
      </w:r>
      <w:r>
        <w:rPr>
          <w:rFonts w:hint="eastAsia"/>
          <w:color w:val="000000"/>
          <w:szCs w:val="21"/>
        </w:rPr>
        <w:t>交货期</w:t>
      </w:r>
      <w:r>
        <w:rPr>
          <w:rFonts w:hint="eastAsia"/>
          <w:color w:val="000000"/>
          <w:szCs w:val="21"/>
          <w:lang w:val="en-US" w:eastAsia="zh-CN"/>
        </w:rPr>
        <w:t>/供货周期</w:t>
      </w:r>
      <w:r>
        <w:rPr>
          <w:rFonts w:hint="eastAsia"/>
          <w:color w:val="000000"/>
          <w:szCs w:val="21"/>
        </w:rPr>
        <w:t>：</w:t>
      </w:r>
      <w:r>
        <w:rPr>
          <w:rFonts w:hint="eastAsia"/>
          <w:color w:val="000000"/>
          <w:szCs w:val="21"/>
          <w:lang w:val="en-US" w:eastAsia="zh-CN"/>
        </w:rPr>
        <w:t>以合同约定为准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1、一般要求：</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3、其他要求：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具备独立法人资格</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4、本项目</w:t>
      </w:r>
      <w:r>
        <w:rPr>
          <w:rFonts w:hint="eastAsia" w:asciiTheme="minorEastAsia" w:hAnsiTheme="minorEastAsia" w:eastAsiaTheme="minorEastAsia" w:cstheme="minorEastAsia"/>
          <w:color w:val="000000"/>
          <w:kern w:val="0"/>
          <w:sz w:val="21"/>
          <w:szCs w:val="21"/>
          <w:u w:val="single"/>
          <w:lang w:val="en-US" w:eastAsia="zh-CN" w:bidi="ar"/>
        </w:rPr>
        <w:t xml:space="preserve"> （不接受） </w:t>
      </w:r>
      <w:r>
        <w:rPr>
          <w:rFonts w:hint="eastAsia" w:asciiTheme="minorEastAsia" w:hAnsiTheme="minorEastAsia" w:eastAsiaTheme="minorEastAsia" w:cstheme="minorEastAsia"/>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三、</w:t>
      </w:r>
      <w:r>
        <w:rPr>
          <w:rFonts w:hint="eastAsia" w:asciiTheme="minorEastAsia" w:hAnsiTheme="minorEastAsia" w:cstheme="minorEastAsia"/>
          <w:b/>
          <w:color w:val="000000"/>
          <w:kern w:val="0"/>
          <w:sz w:val="21"/>
          <w:szCs w:val="21"/>
          <w:lang w:val="en-US" w:eastAsia="zh-CN" w:bidi="ar"/>
        </w:rPr>
        <w:t>询价响应文件格式文件的获取</w:t>
      </w:r>
      <w:r>
        <w:rPr>
          <w:rFonts w:hint="eastAsia" w:asciiTheme="minorEastAsia" w:hAnsiTheme="minorEastAsia" w:eastAsiaTheme="minorEastAsia" w:cstheme="minorEastAsia"/>
          <w:b/>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u w:val="single"/>
          <w:lang w:val="en-US" w:eastAsia="zh-CN" w:bidi="ar"/>
        </w:rPr>
        <w:t xml:space="preserve"> 网站下载电子档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☑向采购人递交书面询价响应文件，递交的截止时间（询价截止时间，下同）为</w:t>
      </w:r>
      <w:r>
        <w:rPr>
          <w:rFonts w:hint="eastAsia" w:ascii="宋体" w:hAnsi="宋体" w:eastAsia="宋体" w:cs="宋体"/>
          <w:color w:val="000000"/>
          <w:kern w:val="0"/>
          <w:sz w:val="21"/>
          <w:szCs w:val="21"/>
          <w:u w:val="single"/>
          <w:lang w:val="en-US" w:eastAsia="zh-CN" w:bidi="ar"/>
        </w:rPr>
        <w:t xml:space="preserve"> 2023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8</w:t>
      </w:r>
      <w:r>
        <w:rPr>
          <w:rFonts w:hint="eastAsia" w:ascii="宋体" w:hAnsi="宋体" w:eastAsia="宋体" w:cs="宋体"/>
          <w:color w:val="000000"/>
          <w:kern w:val="0"/>
          <w:sz w:val="21"/>
          <w:szCs w:val="21"/>
          <w:lang w:val="en-US" w:eastAsia="zh-CN" w:bidi="ar"/>
        </w:rPr>
        <w:t xml:space="preserve">月 </w:t>
      </w:r>
      <w:r>
        <w:rPr>
          <w:rFonts w:hint="eastAsia" w:ascii="宋体" w:hAnsi="宋体" w:eastAsia="宋体" w:cs="宋体"/>
          <w:color w:val="000000"/>
          <w:kern w:val="0"/>
          <w:sz w:val="21"/>
          <w:szCs w:val="21"/>
          <w:u w:val="single"/>
          <w:lang w:val="en-US" w:eastAsia="zh-CN" w:bidi="ar"/>
        </w:rPr>
        <w:t xml:space="preserve">9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17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00 </w:t>
      </w:r>
      <w:r>
        <w:rPr>
          <w:rFonts w:hint="eastAsia" w:ascii="宋体" w:hAnsi="宋体" w:eastAsia="宋体" w:cs="宋体"/>
          <w:color w:val="000000"/>
          <w:kern w:val="0"/>
          <w:sz w:val="21"/>
          <w:szCs w:val="21"/>
          <w:lang w:val="en-US" w:eastAsia="zh-CN" w:bidi="ar"/>
        </w:rPr>
        <w:t>分，地点为</w:t>
      </w:r>
      <w:r>
        <w:rPr>
          <w:rFonts w:hint="eastAsia" w:ascii="宋体" w:hAnsi="宋体" w:eastAsia="宋体" w:cs="宋体"/>
          <w:color w:val="000000"/>
          <w:kern w:val="0"/>
          <w:sz w:val="21"/>
          <w:szCs w:val="21"/>
          <w:u w:val="single"/>
          <w:lang w:val="en-US" w:eastAsia="zh-CN" w:bidi="ar"/>
        </w:rPr>
        <w:t xml:space="preserve"> 合江县荔城大道190号14楼四川占川项目管理咨询有限公司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□询价响应文件以电子邮件方式向采购人递</w:t>
      </w:r>
      <w:bookmarkStart w:id="22" w:name="_GoBack"/>
      <w:bookmarkEnd w:id="22"/>
      <w:r>
        <w:rPr>
          <w:rFonts w:hint="eastAsia" w:ascii="宋体" w:hAnsi="宋体" w:eastAsia="宋体" w:cs="宋体"/>
          <w:color w:val="000000"/>
          <w:kern w:val="0"/>
          <w:sz w:val="21"/>
          <w:szCs w:val="21"/>
          <w:lang w:val="en-US" w:eastAsia="zh-CN" w:bidi="ar"/>
        </w:rPr>
        <w:t>交，递交的截止时间（询价截止时间，下同）为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u w:val="single"/>
          <w:lang w:val="en-US" w:eastAsia="zh-CN" w:bidi="ar"/>
        </w:rPr>
        <w:t xml:space="preserve">年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□其他递交方式：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逾期送达的或者未按上述要求前送达的询价响应文件，采购人不予受理。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 本询价公告在</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cstheme="minorEastAsia"/>
          <w:color w:val="000000"/>
          <w:kern w:val="0"/>
          <w:sz w:val="21"/>
          <w:szCs w:val="21"/>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lang w:val="en-US" w:eastAsia="zh-CN" w:bidi="ar"/>
        </w:rPr>
        <w:t>上发布。</w:t>
      </w:r>
      <w:r>
        <w:rPr>
          <w:rFonts w:hint="eastAsia" w:asciiTheme="minorEastAsia" w:hAnsiTheme="minorEastAsia" w:cstheme="minorEastAsia"/>
          <w:color w:val="000000"/>
          <w:kern w:val="0"/>
          <w:sz w:val="21"/>
          <w:szCs w:val="21"/>
          <w:u w:val="single"/>
          <w:lang w:val="en-US" w:eastAsia="zh-CN" w:bidi="ar"/>
        </w:rPr>
        <w:t>http://www.lzfyjt.com/gsgg/</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采购人（全称）：</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 xml:space="preserve">合江县城市开发投资（集团）有限公司 </w:t>
      </w: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荔城大道190号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联 系 电 话：</w:t>
      </w:r>
      <w:r>
        <w:rPr>
          <w:rFonts w:hint="eastAsia" w:asciiTheme="minorEastAsia" w:hAnsiTheme="minorEastAsia" w:cstheme="minorEastAsia"/>
          <w:b/>
          <w:color w:val="000000"/>
          <w:kern w:val="0"/>
          <w:sz w:val="21"/>
          <w:szCs w:val="21"/>
          <w:lang w:val="en-US" w:eastAsia="zh-CN" w:bidi="ar"/>
        </w:rPr>
        <w:t>0830-5135801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监督人：泸州阜阳投资集团有限公司招标采购中心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李先生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联系电话：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0830-8831616</w:t>
      </w:r>
    </w:p>
    <w:p>
      <w:pPr>
        <w:pStyle w:val="3"/>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lang w:val="en-US" w:eastAsia="zh-CN" w:bidi="ar"/>
        </w:rPr>
        <w:t>2023</w:t>
      </w:r>
      <w:r>
        <w:rPr>
          <w:rFonts w:hint="eastAsia" w:asciiTheme="minorEastAsia" w:hAnsiTheme="minorEastAsia" w:eastAsiaTheme="minorEastAsia" w:cstheme="minorEastAsia"/>
          <w:color w:val="000000"/>
          <w:kern w:val="0"/>
          <w:sz w:val="21"/>
          <w:szCs w:val="21"/>
          <w:lang w:val="en-US" w:eastAsia="zh-CN" w:bidi="ar"/>
        </w:rPr>
        <w:t>年</w:t>
      </w:r>
      <w:r>
        <w:rPr>
          <w:rFonts w:hint="eastAsia" w:asciiTheme="minorEastAsia" w:hAnsiTheme="minorEastAsia" w:cstheme="minorEastAsia"/>
          <w:color w:val="000000"/>
          <w:kern w:val="0"/>
          <w:sz w:val="21"/>
          <w:szCs w:val="21"/>
          <w:lang w:val="en-US" w:eastAsia="zh-CN" w:bidi="ar"/>
        </w:rPr>
        <w:t>8</w:t>
      </w:r>
      <w:r>
        <w:rPr>
          <w:rFonts w:hint="eastAsia" w:asciiTheme="minorEastAsia" w:hAnsiTheme="minorEastAsia" w:eastAsiaTheme="minorEastAsia" w:cstheme="minorEastAsia"/>
          <w:color w:val="000000"/>
          <w:kern w:val="0"/>
          <w:sz w:val="21"/>
          <w:szCs w:val="21"/>
          <w:lang w:val="en-US" w:eastAsia="zh-CN" w:bidi="ar"/>
        </w:rPr>
        <w:t>月</w:t>
      </w:r>
      <w:r>
        <w:rPr>
          <w:rFonts w:hint="eastAsia" w:asciiTheme="minorEastAsia" w:hAnsiTheme="minorEastAsia" w:cstheme="minorEastAsia"/>
          <w:color w:val="000000"/>
          <w:kern w:val="0"/>
          <w:sz w:val="21"/>
          <w:szCs w:val="21"/>
          <w:lang w:val="en-US" w:eastAsia="zh-CN" w:bidi="ar"/>
        </w:rPr>
        <w:t>4</w:t>
      </w:r>
      <w:r>
        <w:rPr>
          <w:rFonts w:hint="eastAsia" w:asciiTheme="minorEastAsia" w:hAnsiTheme="minorEastAsia" w:eastAsiaTheme="minorEastAsia" w:cstheme="minorEastAsia"/>
          <w:color w:val="000000"/>
          <w:kern w:val="0"/>
          <w:sz w:val="21"/>
          <w:szCs w:val="21"/>
          <w:lang w:val="en-US" w:eastAsia="zh-CN" w:bidi="ar"/>
        </w:rPr>
        <w:t>日</w:t>
      </w:r>
    </w:p>
    <w:p>
      <w:pPr>
        <w:rPr>
          <w:rFonts w:hint="eastAsia" w:cs="黑体" w:asciiTheme="minorEastAsia" w:hAnsiTheme="minorEastAsia"/>
          <w:sz w:val="24"/>
          <w:szCs w:val="24"/>
        </w:rPr>
      </w:pPr>
      <w:r>
        <w:rPr>
          <w:rFonts w:hint="eastAsia" w:cs="黑体" w:asciiTheme="minorEastAsia" w:hAnsiTheme="minorEastAsia"/>
          <w:sz w:val="24"/>
          <w:szCs w:val="24"/>
        </w:rPr>
        <w:br w:type="page"/>
      </w:r>
    </w:p>
    <w:p>
      <w:pPr>
        <w:rPr>
          <w:rFonts w:hint="eastAsia" w:cs="黑体" w:asciiTheme="minorEastAsia" w:hAnsiTheme="minorEastAsia"/>
          <w:sz w:val="32"/>
          <w:szCs w:val="32"/>
        </w:rPr>
      </w:pPr>
    </w:p>
    <w:bookmarkEnd w:id="2"/>
    <w:bookmarkEnd w:id="3"/>
    <w:p>
      <w:pPr>
        <w:pStyle w:val="24"/>
        <w:spacing w:line="240" w:lineRule="auto"/>
        <w:ind w:firstLine="420"/>
        <w:rPr>
          <w:szCs w:val="21"/>
        </w:rPr>
      </w:pPr>
      <w:bookmarkStart w:id="5" w:name="_Toc213496267"/>
      <w:bookmarkStart w:id="6" w:name="_Toc213396945"/>
      <w:bookmarkStart w:id="7" w:name="_Toc213397009"/>
      <w:bookmarkStart w:id="8" w:name="_Toc217446031"/>
      <w:bookmarkStart w:id="9" w:name="_Toc213396759"/>
    </w:p>
    <w:p>
      <w:pPr>
        <w:pStyle w:val="4"/>
        <w:keepNext w:val="0"/>
        <w:keepLines w:val="0"/>
        <w:numPr>
          <w:ilvl w:val="0"/>
          <w:numId w:val="1"/>
        </w:numPr>
        <w:spacing w:before="0" w:after="0" w:line="240" w:lineRule="auto"/>
        <w:jc w:val="center"/>
        <w:rPr>
          <w:rFonts w:cs="宋体"/>
          <w:kern w:val="2"/>
          <w:sz w:val="32"/>
          <w:szCs w:val="32"/>
        </w:rPr>
      </w:pPr>
      <w:bookmarkStart w:id="10" w:name="_Toc12414"/>
      <w:bookmarkStart w:id="11" w:name="_Toc26975439"/>
      <w:bookmarkStart w:id="12" w:name="_Toc5869721"/>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8"/>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5"/>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5"/>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w:t>
            </w:r>
            <w:r>
              <w:rPr>
                <w:rFonts w:hint="eastAsia" w:asciiTheme="minorEastAsia" w:hAnsiTheme="minorEastAsia" w:cstheme="minorEastAsia"/>
                <w:color w:val="000000"/>
                <w:kern w:val="0"/>
                <w:sz w:val="21"/>
                <w:szCs w:val="21"/>
                <w:u w:val="none"/>
                <w:lang w:val="en-US" w:eastAsia="zh-CN" w:bidi="ar"/>
              </w:rPr>
              <w:t>合江县城市开发投资（集团）有限公司</w:t>
            </w:r>
            <w:r>
              <w:rPr>
                <w:rFonts w:hint="eastAsia" w:asciiTheme="minorEastAsia" w:hAnsiTheme="minorEastAsia"/>
                <w:color w:val="000000"/>
                <w:szCs w:val="21"/>
                <w:lang w:val="en-US" w:eastAsia="zh-CN"/>
              </w:rPr>
              <w:t xml:space="preserve">  地址：荔城大道190号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color w:val="000000"/>
                <w:szCs w:val="21"/>
                <w:lang w:val="en-US" w:eastAsia="zh-CN"/>
              </w:rPr>
              <w:t>合江县生活垃圾收转运设施建设项目设备采购（第一批）项目询价采购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5"/>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5"/>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5"/>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5"/>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5"/>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5"/>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5"/>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25"/>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b/>
                <w:color w:val="000000"/>
                <w:szCs w:val="21"/>
              </w:rPr>
              <w:t>资质要求</w:t>
            </w:r>
            <w:r>
              <w:rPr>
                <w:rFonts w:hint="eastAsia" w:asciiTheme="minorEastAsia" w:hAnsiTheme="minorEastAsia"/>
                <w:b/>
                <w:color w:val="000000"/>
                <w:szCs w:val="21"/>
                <w:lang w:eastAsia="zh-CN"/>
              </w:rPr>
              <w:t>：</w:t>
            </w:r>
            <w:r>
              <w:rPr>
                <w:rFonts w:hint="eastAsia" w:asciiTheme="minorEastAsia" w:hAnsiTheme="minorEastAsia"/>
                <w:b/>
                <w:color w:val="000000"/>
                <w:szCs w:val="21"/>
                <w:lang w:val="en-US" w:eastAsia="zh-CN"/>
              </w:rPr>
              <w:t>/</w:t>
            </w:r>
          </w:p>
          <w:p>
            <w:pPr>
              <w:ind w:left="38"/>
              <w:jc w:val="left"/>
              <w:rPr>
                <w:rFonts w:hint="eastAsia" w:asciiTheme="minorEastAsia" w:hAnsiTheme="minorEastAsia" w:eastAsiaTheme="minorEastAsia"/>
                <w:color w:val="000000"/>
                <w:szCs w:val="21"/>
                <w:lang w:val="en-US" w:eastAsia="zh-CN"/>
              </w:rPr>
            </w:pPr>
            <w:r>
              <w:rPr>
                <w:rFonts w:hint="eastAsia" w:asciiTheme="minorEastAsia" w:hAnsiTheme="minorEastAsia"/>
                <w:b/>
                <w:color w:val="000000"/>
                <w:szCs w:val="21"/>
              </w:rPr>
              <w:t>业绩要求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p>
            <w:pPr>
              <w:ind w:left="38"/>
              <w:jc w:val="left"/>
              <w:rPr>
                <w:rFonts w:hint="eastAsia" w:cs="宋体" w:asciiTheme="minorEastAsia" w:hAnsiTheme="minorEastAsia" w:eastAsiaTheme="minorEastAsia"/>
                <w:b/>
                <w:color w:val="000000"/>
                <w:szCs w:val="21"/>
                <w:lang w:val="en-US" w:eastAsia="zh-CN"/>
              </w:rPr>
            </w:pPr>
            <w:r>
              <w:rPr>
                <w:rFonts w:hint="eastAsia" w:asciiTheme="minorEastAsia" w:hAnsiTheme="minorEastAsia"/>
                <w:b/>
                <w:color w:val="000000"/>
                <w:szCs w:val="21"/>
              </w:rPr>
              <w:t>其他要求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5"/>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rFonts w:hint="eastAsia" w:eastAsiaTheme="minorEastAsia"/>
                <w:color w:val="000000"/>
                <w:szCs w:val="21"/>
                <w:lang w:eastAsia="zh-CN"/>
              </w:rPr>
            </w:pPr>
            <w:r>
              <w:rPr>
                <w:rFonts w:hint="eastAsia"/>
                <w:color w:val="000000"/>
                <w:szCs w:val="21"/>
                <w:lang w:val="en-US" w:eastAsia="zh-CN"/>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5"/>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暂估总价最高限价486000.00元（大写：肆拾捌万陆仟元整）</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5"/>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5"/>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5"/>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5"/>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5"/>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u w:val="single"/>
          <w:lang w:val="en-US" w:eastAsia="zh-CN"/>
        </w:rPr>
        <w:t xml:space="preserve"> 中选金额的10%</w:t>
      </w:r>
      <w:r>
        <w:rPr>
          <w:rFonts w:hint="eastAsia"/>
          <w:color w:val="000000"/>
          <w:szCs w:val="21"/>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color w:val="000000"/>
          <w:szCs w:val="21"/>
          <w:lang w:val="en-US" w:eastAsia="zh-CN"/>
        </w:rPr>
      </w:pPr>
    </w:p>
    <w:p>
      <w:pPr>
        <w:spacing w:line="336" w:lineRule="auto"/>
        <w:ind w:firstLine="420" w:firstLineChars="200"/>
        <w:rPr>
          <w:rFonts w:hint="eastAsia"/>
          <w:color w:val="000000"/>
          <w:szCs w:val="21"/>
          <w:lang w:val="en-US" w:eastAsia="zh-CN"/>
        </w:rPr>
      </w:pPr>
    </w:p>
    <w:p>
      <w:pPr>
        <w:spacing w:line="336" w:lineRule="auto"/>
      </w:pPr>
    </w:p>
    <w:p>
      <w:pPr>
        <w:rPr>
          <w:rFonts w:hint="eastAsia" w:asciiTheme="minorEastAsia" w:hAnsiTheme="minorEastAsia" w:eastAsiaTheme="minorEastAsia" w:cstheme="minorEastAsia"/>
          <w:kern w:val="2"/>
          <w:sz w:val="21"/>
          <w:szCs w:val="21"/>
        </w:rPr>
      </w:pPr>
    </w:p>
    <w:p>
      <w:pPr>
        <w:rPr>
          <w:rFonts w:hint="eastAsia"/>
        </w:rPr>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r>
        <w:rPr>
          <w:rFonts w:hint="eastAsia"/>
          <w:color w:val="000000"/>
          <w:szCs w:val="21"/>
          <w:lang w:val="en-US" w:eastAsia="zh-CN"/>
        </w:rPr>
        <w:t>前三位的供应商推荐为成交候选人。</w:t>
      </w:r>
    </w:p>
    <w:p>
      <w:pPr>
        <w:widowControl/>
        <w:jc w:val="left"/>
        <w:rPr>
          <w:rFonts w:cs="宋体"/>
          <w:b/>
          <w:bCs/>
          <w:sz w:val="32"/>
          <w:szCs w:val="32"/>
        </w:rPr>
      </w:pPr>
    </w:p>
    <w:p/>
    <w:p>
      <w:pPr>
        <w:numPr>
          <w:ilvl w:val="0"/>
          <w:numId w:val="0"/>
        </w:numPr>
        <w:ind w:leftChars="0"/>
        <w:jc w:val="center"/>
      </w:pPr>
      <w:r>
        <w:br w:type="page"/>
      </w:r>
      <w:bookmarkStart w:id="13" w:name="_Toc324"/>
    </w:p>
    <w:p>
      <w:pPr>
        <w:numPr>
          <w:ilvl w:val="0"/>
          <w:numId w:val="0"/>
        </w:numPr>
        <w:ind w:leftChars="0"/>
        <w:jc w:val="center"/>
      </w:pPr>
    </w:p>
    <w:p>
      <w:pPr>
        <w:numPr>
          <w:ilvl w:val="0"/>
          <w:numId w:val="0"/>
        </w:numPr>
        <w:ind w:leftChars="0"/>
        <w:jc w:val="center"/>
      </w:pPr>
    </w:p>
    <w:p>
      <w:pPr>
        <w:numPr>
          <w:ilvl w:val="0"/>
          <w:numId w:val="0"/>
        </w:numPr>
        <w:ind w:leftChars="0"/>
        <w:jc w:val="center"/>
        <w:rPr>
          <w:rStyle w:val="34"/>
          <w:rFonts w:hint="eastAsia"/>
          <w:sz w:val="32"/>
          <w:szCs w:val="32"/>
          <w:lang w:val="en-US" w:eastAsia="zh-CN"/>
        </w:rPr>
      </w:pPr>
      <w:r>
        <w:rPr>
          <w:rStyle w:val="34"/>
          <w:rFonts w:hint="eastAsia" w:ascii="Times New Roman" w:hAnsi="Times New Roman" w:eastAsia="宋体" w:cs="Times New Roman"/>
          <w:sz w:val="32"/>
          <w:szCs w:val="32"/>
          <w:lang w:val="en-US" w:eastAsia="zh-CN"/>
        </w:rPr>
        <w:t xml:space="preserve">第四章 </w:t>
      </w:r>
      <w:r>
        <w:rPr>
          <w:rStyle w:val="34"/>
          <w:rFonts w:hint="eastAsia"/>
          <w:sz w:val="32"/>
          <w:szCs w:val="32"/>
          <w:lang w:val="en-US" w:eastAsia="zh-CN"/>
        </w:rPr>
        <w:t>合同条款及格式</w:t>
      </w:r>
      <w:bookmarkEnd w:id="13"/>
    </w:p>
    <w:p>
      <w:pPr>
        <w:pStyle w:val="16"/>
        <w:outlineLvl w:val="9"/>
        <w:rPr>
          <w:rFonts w:hint="eastAsia" w:ascii="仿宋" w:hAnsi="仿宋" w:eastAsia="仿宋" w:cs="宋体"/>
          <w:color w:val="000000"/>
          <w:kern w:val="44"/>
        </w:rPr>
      </w:pPr>
      <w:bookmarkStart w:id="14" w:name="_Toc17540"/>
      <w:r>
        <w:rPr>
          <w:rFonts w:hint="eastAsia" w:ascii="宋体" w:hAnsi="宋体" w:cs="宋体"/>
          <w:color w:val="000000"/>
          <w:kern w:val="44"/>
        </w:rPr>
        <w:t>项目设备采购及安装合同</w:t>
      </w:r>
      <w:bookmarkEnd w:id="14"/>
    </w:p>
    <w:p>
      <w:pPr>
        <w:spacing w:line="360" w:lineRule="auto"/>
        <w:ind w:firstLine="480" w:firstLineChars="200"/>
        <w:rPr>
          <w:rFonts w:hint="eastAsia" w:ascii="仿宋" w:hAnsi="仿宋" w:eastAsia="仿宋" w:cs="宋体"/>
          <w:color w:val="000000"/>
          <w:sz w:val="24"/>
        </w:rPr>
      </w:pPr>
    </w:p>
    <w:p>
      <w:pPr>
        <w:spacing w:line="360" w:lineRule="auto"/>
        <w:rPr>
          <w:rFonts w:hint="eastAsia" w:ascii="宋体" w:hAnsi="宋体" w:cs="宋体"/>
          <w:color w:val="000000"/>
          <w:sz w:val="24"/>
        </w:rPr>
      </w:pPr>
      <w:r>
        <w:rPr>
          <w:rFonts w:hint="eastAsia" w:ascii="宋体" w:hAnsi="宋体" w:cs="宋体"/>
          <w:color w:val="000000"/>
          <w:sz w:val="24"/>
        </w:rPr>
        <w:t>甲 方：</w:t>
      </w:r>
      <w:r>
        <w:rPr>
          <w:rFonts w:hint="eastAsia" w:ascii="宋体" w:hAnsi="宋体" w:cs="宋体"/>
          <w:color w:val="000000"/>
          <w:sz w:val="24"/>
          <w:u w:val="single"/>
        </w:rPr>
        <w:t xml:space="preserve">         </w:t>
      </w:r>
      <w:r>
        <w:rPr>
          <w:rFonts w:hint="eastAsia" w:ascii="宋体" w:hAnsi="宋体" w:cs="宋体"/>
          <w:color w:val="000000"/>
          <w:sz w:val="24"/>
        </w:rPr>
        <w:t>（采购人）</w:t>
      </w:r>
    </w:p>
    <w:p>
      <w:pPr>
        <w:spacing w:line="360" w:lineRule="auto"/>
        <w:rPr>
          <w:rFonts w:hint="eastAsia" w:ascii="宋体" w:hAnsi="宋体" w:cs="宋体"/>
          <w:color w:val="000000"/>
          <w:sz w:val="24"/>
        </w:rPr>
      </w:pPr>
      <w:r>
        <w:rPr>
          <w:rFonts w:hint="eastAsia" w:ascii="宋体" w:hAnsi="宋体" w:cs="宋体"/>
          <w:color w:val="000000"/>
          <w:sz w:val="24"/>
        </w:rPr>
        <w:t>乙 方：</w:t>
      </w:r>
      <w:r>
        <w:rPr>
          <w:rFonts w:hint="eastAsia" w:ascii="宋体" w:hAnsi="宋体" w:cs="宋体"/>
          <w:color w:val="000000"/>
          <w:sz w:val="24"/>
          <w:u w:val="single"/>
        </w:rPr>
        <w:t xml:space="preserve">         </w:t>
      </w:r>
      <w:r>
        <w:rPr>
          <w:rFonts w:hint="eastAsia" w:ascii="宋体" w:hAnsi="宋体" w:cs="宋体"/>
          <w:color w:val="000000"/>
          <w:sz w:val="24"/>
        </w:rPr>
        <w:t>（成交人）</w:t>
      </w:r>
    </w:p>
    <w:p>
      <w:pPr>
        <w:spacing w:line="360" w:lineRule="auto"/>
        <w:ind w:left="105" w:leftChars="50" w:firstLine="600" w:firstLineChars="250"/>
        <w:rPr>
          <w:rFonts w:hint="eastAsia" w:ascii="宋体" w:hAnsi="宋体" w:cs="宋体"/>
          <w:color w:val="000000"/>
          <w:sz w:val="24"/>
        </w:rPr>
      </w:pPr>
      <w:r>
        <w:rPr>
          <w:rFonts w:hint="eastAsia" w:ascii="宋体" w:hAnsi="宋体" w:cs="宋体"/>
          <w:color w:val="000000"/>
          <w:sz w:val="24"/>
        </w:rPr>
        <w:t xml:space="preserve"> 根据《中华人民共和国招标投标法》、《中华人民共和国民法典》等相关法律、法规的规定，经甲乙双方协商一致，订立本合同。</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一、项目清单及合同金额（详见报价表，附后）</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1.项目编号：</w:t>
      </w:r>
      <w:r>
        <w:rPr>
          <w:rFonts w:hint="eastAsia" w:ascii="宋体" w:hAnsi="宋体" w:cs="宋体"/>
          <w:bCs/>
          <w:color w:val="000000"/>
          <w:sz w:val="24"/>
        </w:rPr>
        <w:t xml:space="preserve"> </w:t>
      </w:r>
      <w:r>
        <w:rPr>
          <w:rFonts w:hint="eastAsia" w:ascii="宋体" w:hAnsi="宋体" w:cs="宋体"/>
          <w:color w:val="000000"/>
          <w:sz w:val="24"/>
        </w:rPr>
        <w:t xml:space="preserve"> </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2.项目名称：</w:t>
      </w:r>
      <w:r>
        <w:rPr>
          <w:rFonts w:hint="eastAsia" w:ascii="宋体" w:hAnsi="宋体" w:cs="宋体"/>
          <w:color w:val="000000"/>
          <w:spacing w:val="-7"/>
          <w:sz w:val="24"/>
        </w:rPr>
        <w:t xml:space="preserve"> </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3.具体内容：(详见乙方报价表)</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4.合同金额： 。</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二、付款方式</w:t>
      </w:r>
    </w:p>
    <w:p>
      <w:pPr>
        <w:spacing w:line="500" w:lineRule="exact"/>
        <w:ind w:firstLine="566" w:firstLineChars="236"/>
        <w:rPr>
          <w:rFonts w:hint="eastAsia" w:ascii="宋体" w:hAnsi="宋体" w:cs="宋体"/>
          <w:sz w:val="24"/>
        </w:rPr>
      </w:pPr>
      <w:r>
        <w:rPr>
          <w:rFonts w:hint="eastAsia" w:ascii="宋体" w:hAnsi="宋体" w:cs="宋体"/>
          <w:color w:val="000000"/>
          <w:sz w:val="24"/>
        </w:rPr>
        <w:t>1.付款</w:t>
      </w:r>
      <w:r>
        <w:rPr>
          <w:rFonts w:hint="eastAsia" w:ascii="宋体" w:hAnsi="宋体" w:cs="宋体"/>
          <w:sz w:val="24"/>
        </w:rPr>
        <w:t>方式：采购人在验收合格并由供应商提交全部过程资料后30个工作日内支付95%，剩余5%作为质保金，在2年后无质量问题无息支付。乙方应先向甲方提交足额发票。</w:t>
      </w:r>
    </w:p>
    <w:p>
      <w:pPr>
        <w:spacing w:line="360" w:lineRule="auto"/>
        <w:ind w:firstLine="720" w:firstLineChars="300"/>
        <w:rPr>
          <w:rFonts w:hint="eastAsia" w:ascii="宋体" w:hAnsi="宋体" w:cs="宋体"/>
          <w:sz w:val="24"/>
        </w:rPr>
      </w:pPr>
      <w:r>
        <w:rPr>
          <w:rFonts w:hint="eastAsia" w:ascii="宋体" w:hAnsi="宋体" w:cs="宋体"/>
          <w:color w:val="000000"/>
          <w:sz w:val="24"/>
        </w:rPr>
        <w:t>三、合同期限、交货地点、交货时间</w:t>
      </w:r>
      <w:r>
        <w:rPr>
          <w:rFonts w:hint="eastAsia" w:ascii="宋体" w:hAnsi="宋体" w:cs="宋体"/>
          <w:sz w:val="24"/>
        </w:rPr>
        <w:t xml:space="preserve"> </w:t>
      </w:r>
    </w:p>
    <w:p>
      <w:pPr>
        <w:spacing w:line="360" w:lineRule="auto"/>
        <w:ind w:firstLine="720" w:firstLineChars="3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.交货地点：    。</w:t>
      </w:r>
    </w:p>
    <w:p>
      <w:pPr>
        <w:spacing w:line="360" w:lineRule="auto"/>
        <w:ind w:firstLine="735" w:firstLineChars="350"/>
        <w:rPr>
          <w:rFonts w:hint="eastAsia"/>
          <w:color w:val="auto"/>
        </w:rPr>
      </w:pPr>
      <w:r>
        <w:rPr>
          <w:rFonts w:hint="eastAsia"/>
          <w:color w:val="auto"/>
          <w:lang w:val="en-US" w:eastAsia="zh-CN"/>
        </w:rPr>
        <w:t>2</w:t>
      </w:r>
      <w:r>
        <w:rPr>
          <w:rFonts w:hint="eastAsia"/>
          <w:color w:val="auto"/>
        </w:rPr>
        <w:t>. 交货时间：签订合同后10日内提供样品，经采购人确认样品后20日内提交货物并完成安装、摆放。</w:t>
      </w:r>
    </w:p>
    <w:p>
      <w:pPr>
        <w:spacing w:line="360" w:lineRule="auto"/>
        <w:ind w:firstLine="720" w:firstLineChars="300"/>
        <w:rPr>
          <w:rFonts w:hint="eastAsia" w:ascii="宋体" w:hAnsi="宋体" w:cs="宋体"/>
          <w:color w:val="auto"/>
          <w:sz w:val="24"/>
        </w:rPr>
      </w:pPr>
      <w:r>
        <w:rPr>
          <w:rFonts w:hint="eastAsia" w:ascii="宋体" w:hAnsi="宋体" w:cs="宋体"/>
          <w:color w:val="auto"/>
          <w:sz w:val="24"/>
        </w:rPr>
        <w:t>四、履约验收</w:t>
      </w:r>
    </w:p>
    <w:p>
      <w:pPr>
        <w:pStyle w:val="32"/>
        <w:numPr>
          <w:ilvl w:val="0"/>
          <w:numId w:val="2"/>
        </w:numPr>
        <w:tabs>
          <w:tab w:val="left" w:pos="956"/>
        </w:tabs>
        <w:autoSpaceDE w:val="0"/>
        <w:autoSpaceDN w:val="0"/>
        <w:spacing w:line="360" w:lineRule="auto"/>
        <w:ind w:right="232" w:firstLine="480" w:firstLineChars="0"/>
        <w:rPr>
          <w:rFonts w:hint="eastAsia" w:ascii="宋体" w:hAnsi="宋体" w:cs="宋体"/>
          <w:color w:val="000000"/>
          <w:kern w:val="0"/>
          <w:sz w:val="24"/>
        </w:rPr>
      </w:pPr>
      <w:r>
        <w:rPr>
          <w:rFonts w:hint="eastAsia" w:ascii="宋体" w:hAnsi="宋体" w:cs="宋体"/>
          <w:color w:val="auto"/>
          <w:sz w:val="24"/>
        </w:rPr>
        <w:t xml:space="preserve"> </w:t>
      </w:r>
      <w:r>
        <w:rPr>
          <w:rFonts w:hint="eastAsia" w:ascii="宋体" w:hAnsi="宋体" w:cs="宋体"/>
          <w:color w:val="auto"/>
          <w:kern w:val="0"/>
          <w:sz w:val="24"/>
        </w:rPr>
        <w:t>乙方在收到成交通知书</w:t>
      </w:r>
      <w:r>
        <w:rPr>
          <w:rFonts w:hint="eastAsia" w:ascii="宋体" w:hAnsi="宋体" w:cs="宋体"/>
          <w:color w:val="000000"/>
          <w:kern w:val="0"/>
          <w:sz w:val="24"/>
        </w:rPr>
        <w:t xml:space="preserve">后 </w:t>
      </w:r>
      <w:r>
        <w:rPr>
          <w:rFonts w:hint="eastAsia" w:ascii="宋体" w:hAnsi="宋体" w:cs="宋体"/>
          <w:color w:val="FF0000"/>
          <w:kern w:val="0"/>
          <w:sz w:val="24"/>
        </w:rPr>
        <w:t xml:space="preserve">5 </w:t>
      </w:r>
      <w:r>
        <w:rPr>
          <w:rFonts w:hint="eastAsia" w:ascii="宋体" w:hAnsi="宋体" w:cs="宋体"/>
          <w:color w:val="000000"/>
          <w:kern w:val="0"/>
          <w:sz w:val="24"/>
        </w:rPr>
        <w:t>日内，按照文件约定将履约保证金足额缴入甲方指定的账户，履约保证金缴纳金额为中标价的10％。凭履约保证金缴纳凭证原件到甲方财务室开具票据，凭开具的票据签订本项目采购合同；</w:t>
      </w:r>
    </w:p>
    <w:p>
      <w:pPr>
        <w:pStyle w:val="32"/>
        <w:numPr>
          <w:ilvl w:val="0"/>
          <w:numId w:val="2"/>
        </w:numPr>
        <w:tabs>
          <w:tab w:val="left" w:pos="956"/>
        </w:tabs>
        <w:autoSpaceDE w:val="0"/>
        <w:autoSpaceDN w:val="0"/>
        <w:spacing w:line="360" w:lineRule="auto"/>
        <w:ind w:right="232" w:firstLine="480" w:firstLineChars="0"/>
        <w:rPr>
          <w:rFonts w:hint="eastAsia" w:ascii="宋体" w:hAnsi="宋体" w:cs="宋体"/>
          <w:kern w:val="0"/>
          <w:sz w:val="24"/>
        </w:rPr>
      </w:pPr>
      <w:r>
        <w:rPr>
          <w:rFonts w:hint="eastAsia" w:ascii="宋体" w:hAnsi="宋体" w:cs="宋体"/>
          <w:color w:val="000000"/>
          <w:kern w:val="0"/>
          <w:sz w:val="24"/>
        </w:rPr>
        <w:t>待乙方履约完成并经甲方验收合格后，由甲方凭采购项目竣工验收表在</w:t>
      </w:r>
      <w:r>
        <w:rPr>
          <w:rFonts w:hint="eastAsia" w:ascii="宋体" w:hAnsi="宋体" w:cs="宋体"/>
          <w:kern w:val="0"/>
          <w:sz w:val="24"/>
        </w:rPr>
        <w:t xml:space="preserve"> 5 个工作日内以非现金形式退还乙方签订合同时缴纳的履约保证金。</w:t>
      </w:r>
    </w:p>
    <w:p>
      <w:pPr>
        <w:pStyle w:val="32"/>
        <w:numPr>
          <w:ilvl w:val="0"/>
          <w:numId w:val="2"/>
        </w:numPr>
        <w:tabs>
          <w:tab w:val="left" w:pos="956"/>
        </w:tabs>
        <w:autoSpaceDE w:val="0"/>
        <w:autoSpaceDN w:val="0"/>
        <w:spacing w:line="360" w:lineRule="auto"/>
        <w:ind w:right="232" w:firstLine="480" w:firstLineChars="0"/>
        <w:rPr>
          <w:rFonts w:hint="eastAsia" w:ascii="宋体" w:hAnsi="宋体" w:cs="宋体"/>
          <w:sz w:val="24"/>
        </w:rPr>
      </w:pPr>
      <w:r>
        <w:rPr>
          <w:rFonts w:hint="eastAsia" w:ascii="宋体" w:hAnsi="宋体" w:cs="宋体"/>
          <w:kern w:val="0"/>
          <w:sz w:val="24"/>
        </w:rPr>
        <w:t>本项目合同内容包括设备购置、运输、安装、调试、试运行等确保设备正常投入使用的所有工作内容。乙方在安装过程中应服从甲方管理，按相应技术规范进行安装，为安装人员提供安全防护措施、保险及劳保用品，确保安装过程中的施工安全，乙方应承担所有安全责任及其损失。</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4.供应商提供的产品为最新生产的全新的原装正品，且权属清楚，不得侵害他人的知识产权。各项指标符合出产国检测标准和出厂标准，各项技术参数符合文件要求和供应商响应文件承诺。</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5.乙方所交产品不符合规定或质量不合格的，由乙方负责在合同约定的交货时间内包换，并承担换货而支付的一切费用。乙方不能调换的，按不能交货处理。</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6.乙方应将所提供货物的装箱清单、用户使用手册、等资料交付给甲方。乙方不能完整交付货物及本款规定的单证的，必须负责在合同约定的交货时间内补齐，否则视为未按合同约定交货。</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7.甲方按国家相关标准和本招标文件的相关要求自行组织有关专业人员验收。</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 验收标准：按国家有关规定以及甲方采购文件的质量要求和技术指标、乙方的投标文件及承诺与本合同约定标准进行验收；甲乙双方如对质量要求和技术指标的约定标准有相互抵触或异议的事项，由甲方在采购与投标文件中按质量要求和技术指标比较优胜的原则确定该项的约定标准进行验收；</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(3) 如质量验收合格，双方签署质量验收报告。</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5、甲方应自乙方履行完合同义务之日起 10 个工作日内组织验收，甲方无故逾期不进行验收工作的，视同验收合格。</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五、售后服务</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1.乙方应严格遵守售后服务承诺，产品在使用中出现任何问题，甲方与乙方联系，乙方在接到电话后 （时间）内到达现场提供现场服务。</w:t>
      </w:r>
    </w:p>
    <w:p>
      <w:pPr>
        <w:spacing w:line="360" w:lineRule="auto"/>
        <w:ind w:firstLine="720" w:firstLineChars="300"/>
        <w:rPr>
          <w:rFonts w:hint="eastAsia" w:ascii="宋体" w:hAnsi="宋体" w:cs="宋体"/>
          <w:color w:val="auto"/>
          <w:sz w:val="24"/>
        </w:rPr>
      </w:pPr>
      <w:r>
        <w:rPr>
          <w:rFonts w:hint="eastAsia" w:ascii="宋体" w:hAnsi="宋体" w:cs="宋体"/>
          <w:color w:val="000000"/>
          <w:sz w:val="24"/>
        </w:rPr>
        <w:t>2.</w:t>
      </w:r>
      <w:r>
        <w:rPr>
          <w:rFonts w:hint="eastAsia" w:ascii="宋体" w:hAnsi="宋体" w:cs="宋体"/>
          <w:color w:val="auto"/>
          <w:sz w:val="24"/>
        </w:rPr>
        <w:t>乙方在响应文件中的其它服务承诺：</w:t>
      </w:r>
    </w:p>
    <w:p>
      <w:pPr>
        <w:spacing w:line="360" w:lineRule="auto"/>
        <w:ind w:firstLine="720" w:firstLineChars="300"/>
        <w:rPr>
          <w:rFonts w:hint="eastAsia" w:ascii="宋体" w:hAnsi="宋体" w:cs="宋体"/>
          <w:color w:val="auto"/>
          <w:sz w:val="24"/>
        </w:rPr>
      </w:pPr>
      <w:r>
        <w:rPr>
          <w:rFonts w:hint="eastAsia" w:ascii="宋体" w:hAnsi="宋体" w:cs="宋体"/>
          <w:color w:val="auto"/>
          <w:sz w:val="24"/>
        </w:rPr>
        <w:t>（1）货物质量在质保期内质量出现问题，成交供应商应在30分钟内做出服务响应，5日内更换垃圾分类桶。</w:t>
      </w:r>
    </w:p>
    <w:p>
      <w:pPr>
        <w:spacing w:line="360" w:lineRule="auto"/>
        <w:ind w:firstLine="720" w:firstLineChars="300"/>
        <w:rPr>
          <w:rFonts w:hint="eastAsia" w:ascii="宋体" w:hAnsi="宋体" w:cs="宋体"/>
          <w:color w:val="auto"/>
          <w:sz w:val="24"/>
        </w:rPr>
      </w:pPr>
      <w:r>
        <w:rPr>
          <w:rFonts w:hint="eastAsia" w:ascii="宋体" w:hAnsi="宋体" w:cs="宋体"/>
          <w:color w:val="auto"/>
          <w:sz w:val="24"/>
        </w:rPr>
        <w:t>六、相关权利及义务</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1.甲方在验收时对不符合招标文件要求的产品有权拒绝接收和追究违约责任。</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2.甲方有权监督乙方的售后服务，并对乙方的售后服务不符合投标文件承诺内容时加以指出并追究乙方责任。</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3.甲方在合同规定期限内履行付款责任。</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4.双方对对方的技术及商业机密予以保密。</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5.甲方有义务并指派专人积极配合乙方进行交货验收工作。</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指派人员：      电话：    邮箱号码：</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6.乙方有权按照合同约定要求甲方及时支付相应合同款项。</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7.乙方有义务按投标文件中的售后服务承诺提供良好的服务。</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8.乙方须指派专人负责与甲方联系售后服务事宜。</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 xml:space="preserve">指派人员：   电话：    邮箱号码： </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七、违约责任</w:t>
      </w:r>
    </w:p>
    <w:p>
      <w:pPr>
        <w:spacing w:line="360" w:lineRule="auto"/>
        <w:ind w:firstLine="720" w:firstLineChars="300"/>
        <w:rPr>
          <w:rFonts w:hint="eastAsia" w:ascii="宋体" w:hAnsi="宋体" w:cs="宋体"/>
          <w:sz w:val="24"/>
        </w:rPr>
      </w:pPr>
      <w:r>
        <w:rPr>
          <w:rFonts w:hint="eastAsia" w:ascii="宋体" w:hAnsi="宋体" w:cs="宋体"/>
          <w:color w:val="000000"/>
          <w:sz w:val="24"/>
        </w:rPr>
        <w:t>1.甲乙双方均应遵守本合同，非因不可抗力而单方面终止执行合同的，将赔偿因违约给对方</w:t>
      </w:r>
      <w:r>
        <w:rPr>
          <w:rFonts w:hint="eastAsia" w:ascii="宋体" w:hAnsi="宋体" w:cs="宋体"/>
          <w:sz w:val="24"/>
        </w:rPr>
        <w:t>造成的经济损失，并向对方支付本合同总额10%的违约金，如因乙方原因造成的，采购人不予退还履约保证金。</w:t>
      </w:r>
    </w:p>
    <w:p>
      <w:pPr>
        <w:spacing w:line="360" w:lineRule="auto"/>
        <w:ind w:firstLine="720" w:firstLineChars="300"/>
        <w:rPr>
          <w:rFonts w:hint="eastAsia" w:ascii="宋体" w:hAnsi="宋体" w:cs="宋体"/>
          <w:color w:val="000000"/>
          <w:sz w:val="24"/>
        </w:rPr>
      </w:pPr>
      <w:r>
        <w:rPr>
          <w:rFonts w:hint="eastAsia" w:ascii="宋体" w:hAnsi="宋体" w:cs="宋体"/>
          <w:sz w:val="24"/>
        </w:rPr>
        <w:t>2.若因乙方原因在合同规定期限内无法交货，甲方有权终止合同，并请示项目主管部门取消其中标资格，甲方不予退还履约保证金并由乙方向甲方支付10%的违约金；或经甲、乙双方协商同意继续履行合同，甲方不予退还履约保证金，甲方视情况在延迟交货期内每天按合同总额万分之</w:t>
      </w:r>
      <w:r>
        <w:rPr>
          <w:rFonts w:hint="eastAsia" w:ascii="宋体" w:hAnsi="宋体" w:cs="宋体"/>
          <w:sz w:val="24"/>
          <w:u w:val="single"/>
        </w:rPr>
        <w:t xml:space="preserve"> 三 </w:t>
      </w:r>
      <w:r>
        <w:rPr>
          <w:rFonts w:hint="eastAsia" w:ascii="宋体" w:hAnsi="宋体" w:cs="宋体"/>
          <w:sz w:val="24"/>
        </w:rPr>
        <w:t>的标准收取违约</w:t>
      </w:r>
      <w:r>
        <w:rPr>
          <w:rFonts w:hint="eastAsia" w:ascii="宋体" w:hAnsi="宋体" w:cs="宋体"/>
          <w:color w:val="000000"/>
          <w:sz w:val="24"/>
        </w:rPr>
        <w:t>金。因不可抗拒力所导致的交货及付款延迟等按照《中华人民共和国民法典》有关条文及本合同第八条处理。</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3.乙方交付的货物质量不符合合同规定的，乙方应向甲方支付合同总价的5%的违约金，并须在合同规定的交货时间内更换合格的货物给甲方，否则，视作乙方不能交付货物而违约，按第七条第2款进行处理。甲方可将乙方货物交具有法定资格条件的质量技术监督机构检测，检测费用负担原则参照第九条第1款。</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10%向甲方支付违约金并赔偿因此给甲方造成的一切损失。</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5.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 xml:space="preserve">6.验收合格后，甲方应在合同约定的付款期限内及时支付合同款项，如因甲方原因造成付款延误的，乙方视情况在延迟付款期内每天按合同总额万分之   </w:t>
      </w:r>
      <w:r>
        <w:rPr>
          <w:rFonts w:hint="eastAsia" w:ascii="宋体" w:hAnsi="宋体" w:cs="宋体"/>
          <w:color w:val="000000"/>
          <w:sz w:val="24"/>
          <w:u w:val="single"/>
        </w:rPr>
        <w:t xml:space="preserve">三 </w:t>
      </w:r>
      <w:r>
        <w:rPr>
          <w:rFonts w:hint="eastAsia" w:ascii="宋体" w:hAnsi="宋体" w:cs="宋体"/>
          <w:color w:val="000000"/>
          <w:sz w:val="24"/>
        </w:rPr>
        <w:t>的标准收取违约金。</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八、不可抗力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九、争议</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1.因货物的质量问题发生争议，由具有法定资格条件的质量技术监督机构进行质量鉴定。货物符合标准的，鉴定费由甲方承担；货物不符合质量标准的，鉴定费由乙方承担。</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2.合同履行期间,若双方发生争议，双方本着友好合作的态度，对合同履行过程中</w:t>
      </w:r>
      <w:r>
        <w:rPr>
          <w:rFonts w:hint="eastAsia" w:ascii="宋体" w:hAnsi="宋体" w:cs="宋体"/>
          <w:sz w:val="24"/>
        </w:rPr>
        <w:t>发生的违约行为进行及时的协商解决或由有关部门调解解决，如不能协商解决可向合江县人</w:t>
      </w:r>
      <w:r>
        <w:rPr>
          <w:rFonts w:hint="eastAsia" w:ascii="宋体" w:hAnsi="宋体" w:cs="宋体"/>
          <w:color w:val="000000"/>
          <w:sz w:val="24"/>
        </w:rPr>
        <w:t>民法院通过法律诉讼解决。</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十、合同标的减少与追加处理</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1.如因在合同履行过程中有变更，存在减少有关产品数量情况，经甲乙双方书面确认，按乙方中标时的固定单价对总价进行调减，并按有关规定签订补充合同。</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2.如因在合同履行过程中，需追加与本合同标的相同的货物或者服务，在不改变合同条款的前提下，经甲乙双方书面确认，报项目主管部门审核同意后，按乙方中标时的固定单价对总价进行调增，并按有关规定签订补充合同。</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3.如因在合同履行过程中有变更，甲、乙双方其中一方不同意进行变更的，经双方协商无法达成一致，导致合同无法继续履行的，视为提出变更方违约。</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十一、其它事项</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1.甲、乙双方约定其他事项：</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sz w:val="24"/>
        </w:rPr>
        <w:t>）</w:t>
      </w:r>
      <w:r>
        <w:rPr>
          <w:rFonts w:hint="eastAsia" w:ascii="宋体" w:hAnsi="宋体" w:cs="宋体"/>
          <w:bCs/>
          <w:sz w:val="24"/>
          <w:u w:val="single"/>
        </w:rPr>
        <w:t xml:space="preserve"> </w:t>
      </w:r>
      <w:r>
        <w:rPr>
          <w:rFonts w:hint="eastAsia" w:asciiTheme="minorEastAsia" w:hAnsiTheme="minorEastAsia" w:eastAsiaTheme="minorEastAsia" w:cstheme="minorEastAsia"/>
          <w:b/>
          <w:bCs/>
          <w:i w:val="0"/>
          <w:iCs w:val="0"/>
          <w:color w:val="0000FF"/>
          <w:kern w:val="0"/>
          <w:sz w:val="21"/>
          <w:szCs w:val="21"/>
          <w:u w:val="single"/>
          <w:lang w:val="en-US" w:eastAsia="zh-CN" w:bidi="ar-SA"/>
        </w:rPr>
        <w:t>乙方提供的产品参数必须满足招标文件技术参数清单，否则视为违约</w:t>
      </w:r>
      <w:r>
        <w:rPr>
          <w:rFonts w:hint="eastAsia" w:ascii="宋体" w:hAnsi="宋体" w:cs="宋体"/>
          <w:bCs/>
          <w:sz w:val="24"/>
          <w:u w:val="single"/>
        </w:rPr>
        <w:t xml:space="preserve"> </w:t>
      </w:r>
      <w:r>
        <w:rPr>
          <w:rFonts w:hint="eastAsia" w:ascii="宋体" w:hAnsi="宋体" w:cs="宋体"/>
          <w:bCs/>
          <w:sz w:val="24"/>
        </w:rPr>
        <w:t>。</w:t>
      </w:r>
    </w:p>
    <w:p>
      <w:pPr>
        <w:spacing w:line="360" w:lineRule="auto"/>
        <w:ind w:firstLine="720" w:firstLineChars="300"/>
        <w:rPr>
          <w:rFonts w:hint="eastAsia" w:ascii="宋体" w:hAnsi="宋体" w:cs="宋体"/>
          <w:color w:val="auto"/>
          <w:sz w:val="24"/>
        </w:rPr>
      </w:pPr>
      <w:r>
        <w:rPr>
          <w:rFonts w:hint="eastAsia" w:ascii="宋体" w:hAnsi="宋体" w:cs="宋体"/>
          <w:color w:val="000000"/>
          <w:sz w:val="24"/>
        </w:rPr>
        <w:t>（</w:t>
      </w:r>
      <w:r>
        <w:rPr>
          <w:rFonts w:hint="eastAsia" w:ascii="宋体" w:hAnsi="宋体" w:cs="宋体"/>
          <w:color w:val="auto"/>
          <w:sz w:val="24"/>
        </w:rPr>
        <w:t>2）</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720" w:firstLineChars="300"/>
        <w:rPr>
          <w:rFonts w:hint="eastAsia" w:ascii="宋体" w:hAnsi="宋体" w:cs="宋体"/>
          <w:color w:val="auto"/>
          <w:sz w:val="24"/>
        </w:rPr>
      </w:pPr>
      <w:r>
        <w:rPr>
          <w:rFonts w:hint="eastAsia" w:ascii="宋体" w:hAnsi="宋体" w:cs="宋体"/>
          <w:color w:val="auto"/>
          <w:sz w:val="24"/>
        </w:rPr>
        <w:t>2.本合同一式肆份，甲、乙双方各执贰份。</w:t>
      </w:r>
    </w:p>
    <w:p>
      <w:pPr>
        <w:spacing w:line="360" w:lineRule="auto"/>
        <w:ind w:firstLine="720" w:firstLineChars="300"/>
        <w:rPr>
          <w:rFonts w:hint="eastAsia" w:ascii="宋体" w:hAnsi="宋体" w:cs="宋体"/>
          <w:color w:val="auto"/>
          <w:sz w:val="24"/>
        </w:rPr>
      </w:pPr>
      <w:r>
        <w:rPr>
          <w:rFonts w:hint="eastAsia" w:ascii="宋体" w:hAnsi="宋体" w:cs="宋体"/>
          <w:color w:val="auto"/>
          <w:sz w:val="24"/>
        </w:rPr>
        <w:t>3.本合同自签订之日起生效。</w:t>
      </w:r>
    </w:p>
    <w:p>
      <w:pPr>
        <w:spacing w:line="360" w:lineRule="auto"/>
        <w:ind w:firstLine="720" w:firstLineChars="300"/>
        <w:rPr>
          <w:rFonts w:hint="eastAsia" w:ascii="宋体" w:hAnsi="宋体" w:cs="宋体"/>
          <w:color w:val="000000"/>
          <w:sz w:val="24"/>
        </w:rPr>
      </w:pPr>
      <w:r>
        <w:rPr>
          <w:rFonts w:hint="eastAsia" w:ascii="宋体" w:hAnsi="宋体" w:cs="宋体"/>
          <w:color w:val="auto"/>
          <w:sz w:val="24"/>
        </w:rPr>
        <w:t>4.本项目的采购文件、投标文件等</w:t>
      </w:r>
      <w:r>
        <w:rPr>
          <w:rFonts w:hint="eastAsia" w:ascii="宋体" w:hAnsi="宋体" w:cs="宋体"/>
          <w:color w:val="000000"/>
          <w:sz w:val="24"/>
        </w:rPr>
        <w:t>是本合同的附件，与合同具有同等的法律效力。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5.其它未尽事宜，由双方友好协商解决，并参照《中华人民共和国民法典》有关条款执行。</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附：乙方报价表。</w:t>
      </w:r>
    </w:p>
    <w:p>
      <w:pPr>
        <w:wordWrap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甲方（印章）：                  乙方（印章）：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甲方代表签字 :                  乙方代表签字：</w:t>
      </w:r>
    </w:p>
    <w:p>
      <w:pPr>
        <w:spacing w:line="360" w:lineRule="auto"/>
        <w:ind w:left="4853" w:leftChars="254" w:hanging="4320" w:hangingChars="1800"/>
        <w:rPr>
          <w:rFonts w:hint="eastAsia" w:ascii="宋体" w:hAnsi="宋体" w:cs="宋体"/>
          <w:color w:val="000000"/>
          <w:sz w:val="24"/>
        </w:rPr>
      </w:pPr>
      <w:r>
        <w:rPr>
          <w:rFonts w:hint="eastAsia" w:ascii="宋体" w:hAnsi="宋体" w:cs="宋体"/>
          <w:color w:val="000000"/>
          <w:sz w:val="24"/>
        </w:rPr>
        <w:t xml:space="preserve">地址：                          地址：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电话：                          电话： </w:t>
      </w:r>
    </w:p>
    <w:p>
      <w:pPr>
        <w:wordWrap w:val="0"/>
        <w:spacing w:line="360" w:lineRule="auto"/>
        <w:ind w:firstLine="4320" w:firstLineChars="1800"/>
        <w:rPr>
          <w:rFonts w:hint="eastAsia" w:ascii="宋体" w:hAnsi="宋体" w:cs="宋体"/>
          <w:color w:val="000000"/>
          <w:sz w:val="24"/>
        </w:rPr>
      </w:pPr>
      <w:r>
        <w:rPr>
          <w:rFonts w:hint="eastAsia" w:ascii="宋体" w:hAnsi="宋体" w:cs="宋体"/>
          <w:color w:val="000000"/>
          <w:sz w:val="24"/>
        </w:rPr>
        <w:t xml:space="preserve">开户银行：                    </w:t>
      </w:r>
    </w:p>
    <w:p>
      <w:pPr>
        <w:spacing w:line="360" w:lineRule="auto"/>
        <w:ind w:firstLine="4320" w:firstLineChars="1800"/>
        <w:rPr>
          <w:rFonts w:hint="eastAsia" w:ascii="宋体" w:hAnsi="宋体" w:cs="宋体"/>
          <w:color w:val="000000"/>
          <w:sz w:val="24"/>
        </w:rPr>
      </w:pPr>
      <w:r>
        <w:rPr>
          <w:rFonts w:hint="eastAsia" w:ascii="宋体" w:hAnsi="宋体" w:cs="宋体"/>
          <w:color w:val="000000"/>
          <w:sz w:val="24"/>
        </w:rPr>
        <w:t xml:space="preserve">开户账号： </w:t>
      </w:r>
    </w:p>
    <w:p>
      <w:pPr>
        <w:spacing w:line="360" w:lineRule="auto"/>
        <w:ind w:firstLine="480" w:firstLineChars="200"/>
        <w:rPr>
          <w:rFonts w:hint="eastAsia" w:ascii="宋体" w:hAnsi="宋体" w:cs="宋体"/>
          <w:color w:val="000000"/>
          <w:sz w:val="24"/>
        </w:rPr>
      </w:pPr>
    </w:p>
    <w:p>
      <w:pPr>
        <w:spacing w:line="360" w:lineRule="auto"/>
        <w:ind w:firstLine="480" w:firstLineChars="200"/>
        <w:rPr>
          <w:rFonts w:hint="eastAsia" w:ascii="宋体" w:hAnsi="宋体" w:cs="宋体"/>
          <w:color w:val="000000"/>
          <w:sz w:val="24"/>
        </w:rPr>
      </w:pPr>
    </w:p>
    <w:p>
      <w:pPr>
        <w:spacing w:line="360" w:lineRule="auto"/>
        <w:ind w:firstLine="5520" w:firstLineChars="2300"/>
      </w:pPr>
      <w:r>
        <w:rPr>
          <w:rFonts w:hint="eastAsia" w:ascii="宋体" w:hAnsi="宋体" w:cs="宋体"/>
          <w:color w:val="000000"/>
          <w:sz w:val="24"/>
        </w:rPr>
        <w:t>日 期：  年   月    日</w:t>
      </w:r>
    </w:p>
    <w:p>
      <w:pPr>
        <w:spacing w:line="360" w:lineRule="auto"/>
        <w:rPr>
          <w:rFonts w:hint="eastAsia" w:ascii="宋体" w:hAnsi="宋体"/>
          <w:b/>
          <w:bCs/>
          <w:color w:val="000000"/>
          <w:sz w:val="24"/>
        </w:rPr>
      </w:pPr>
    </w:p>
    <w:p>
      <w:pPr>
        <w:autoSpaceDE w:val="0"/>
        <w:autoSpaceDN w:val="0"/>
        <w:adjustRightInd w:val="0"/>
        <w:spacing w:line="540" w:lineRule="exact"/>
        <w:ind w:firstLine="602" w:firstLineChars="200"/>
        <w:rPr>
          <w:rFonts w:hint="eastAsia" w:hAnsi="Tms Rmn"/>
          <w:b/>
          <w:sz w:val="30"/>
          <w:szCs w:val="30"/>
          <w:lang w:val="en-US" w:eastAsia="zh-CN"/>
        </w:rPr>
      </w:pPr>
    </w:p>
    <w:p>
      <w:pPr>
        <w:numPr>
          <w:ilvl w:val="0"/>
          <w:numId w:val="3"/>
        </w:numPr>
        <w:jc w:val="center"/>
        <w:rPr>
          <w:rStyle w:val="34"/>
          <w:rFonts w:hint="eastAsia" w:ascii="Times New Roman" w:hAnsi="Times New Roman" w:eastAsia="宋体" w:cs="Times New Roman"/>
          <w:sz w:val="32"/>
          <w:szCs w:val="32"/>
          <w:lang w:val="en-US" w:eastAsia="zh-CN"/>
        </w:rPr>
        <w:sectPr>
          <w:footerReference r:id="rId3" w:type="default"/>
          <w:pgSz w:w="11906" w:h="16838"/>
          <w:pgMar w:top="1440" w:right="1803" w:bottom="1440" w:left="1803" w:header="851" w:footer="992" w:gutter="0"/>
          <w:pgNumType w:start="0"/>
          <w:cols w:space="0" w:num="1"/>
          <w:rtlGutter w:val="0"/>
          <w:docGrid w:type="lines" w:linePitch="319" w:charSpace="0"/>
        </w:sectPr>
      </w:pPr>
    </w:p>
    <w:p>
      <w:pPr>
        <w:numPr>
          <w:ilvl w:val="0"/>
          <w:numId w:val="3"/>
        </w:numPr>
        <w:jc w:val="center"/>
        <w:rPr>
          <w:rStyle w:val="34"/>
          <w:rFonts w:hint="eastAsia" w:ascii="Times New Roman" w:hAnsi="Times New Roman" w:eastAsia="宋体" w:cs="Times New Roman"/>
          <w:sz w:val="32"/>
          <w:szCs w:val="32"/>
          <w:lang w:val="en-US" w:eastAsia="zh-CN"/>
        </w:rPr>
      </w:pPr>
      <w:r>
        <w:rPr>
          <w:rStyle w:val="34"/>
          <w:rFonts w:hint="eastAsia" w:ascii="Times New Roman" w:hAnsi="Times New Roman" w:eastAsia="宋体" w:cs="Times New Roman"/>
          <w:sz w:val="32"/>
          <w:szCs w:val="32"/>
          <w:lang w:val="en-US" w:eastAsia="zh-CN"/>
        </w:rPr>
        <w:t>采购清单</w:t>
      </w:r>
    </w:p>
    <w:tbl>
      <w:tblPr>
        <w:tblStyle w:val="19"/>
        <w:tblpPr w:leftFromText="180" w:rightFromText="180" w:vertAnchor="text" w:horzAnchor="page" w:tblpX="2987" w:tblpY="772"/>
        <w:tblOverlap w:val="never"/>
        <w:tblW w:w="10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02"/>
        <w:gridCol w:w="2911"/>
        <w:gridCol w:w="744"/>
        <w:gridCol w:w="742"/>
        <w:gridCol w:w="928"/>
        <w:gridCol w:w="1270"/>
        <w:gridCol w:w="1089"/>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36"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序号</w:t>
            </w:r>
          </w:p>
        </w:tc>
        <w:tc>
          <w:tcPr>
            <w:tcW w:w="1302"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名称</w:t>
            </w:r>
          </w:p>
        </w:tc>
        <w:tc>
          <w:tcPr>
            <w:tcW w:w="2911"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kern w:val="0"/>
                <w:sz w:val="21"/>
                <w:szCs w:val="21"/>
                <w:lang w:val="en-US" w:eastAsia="zh-CN" w:bidi="ar"/>
              </w:rPr>
              <w:t>型号/规格/特征描述/参数</w:t>
            </w:r>
          </w:p>
        </w:tc>
        <w:tc>
          <w:tcPr>
            <w:tcW w:w="744" w:type="dxa"/>
            <w:vAlign w:val="center"/>
          </w:tcPr>
          <w:p>
            <w:pPr>
              <w:widowControl/>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val="en-US" w:eastAsia="zh-CN" w:bidi="ar"/>
              </w:rPr>
              <w:t>单位</w:t>
            </w:r>
          </w:p>
        </w:tc>
        <w:tc>
          <w:tcPr>
            <w:tcW w:w="742"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数量</w:t>
            </w:r>
          </w:p>
        </w:tc>
        <w:tc>
          <w:tcPr>
            <w:tcW w:w="928"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综合单价（元）</w:t>
            </w:r>
          </w:p>
        </w:tc>
        <w:tc>
          <w:tcPr>
            <w:tcW w:w="1270"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合计（元）</w:t>
            </w:r>
          </w:p>
        </w:tc>
        <w:tc>
          <w:tcPr>
            <w:tcW w:w="1089"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开票税率要求</w:t>
            </w:r>
          </w:p>
        </w:tc>
        <w:tc>
          <w:tcPr>
            <w:tcW w:w="1366"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6" w:hRule="atLeast"/>
        </w:trPr>
        <w:tc>
          <w:tcPr>
            <w:tcW w:w="636" w:type="dxa"/>
            <w:vAlign w:val="center"/>
          </w:tcPr>
          <w:p>
            <w:pPr>
              <w:widowControl/>
              <w:jc w:val="center"/>
              <w:textAlignment w:val="center"/>
              <w:rPr>
                <w:rFonts w:hint="eastAsia" w:ascii="仿宋" w:hAnsi="仿宋" w:eastAsia="仿宋" w:cs="仿宋"/>
                <w:i w:val="0"/>
                <w:iCs w:val="0"/>
                <w:color w:val="auto"/>
                <w:kern w:val="0"/>
                <w:sz w:val="21"/>
                <w:szCs w:val="21"/>
                <w:lang w:bidi="ar"/>
              </w:rPr>
            </w:pPr>
            <w:r>
              <w:rPr>
                <w:rFonts w:hint="eastAsia" w:ascii="仿宋" w:hAnsi="仿宋" w:eastAsia="仿宋" w:cs="仿宋"/>
                <w:i w:val="0"/>
                <w:iCs w:val="0"/>
                <w:color w:val="auto"/>
                <w:kern w:val="0"/>
                <w:sz w:val="21"/>
                <w:szCs w:val="21"/>
                <w:lang w:bidi="ar"/>
              </w:rPr>
              <w:t>1</w:t>
            </w:r>
          </w:p>
        </w:tc>
        <w:tc>
          <w:tcPr>
            <w:tcW w:w="1302"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240升垃圾分类桶</w:t>
            </w:r>
          </w:p>
        </w:tc>
        <w:tc>
          <w:tcPr>
            <w:tcW w:w="2911" w:type="dxa"/>
            <w:vAlign w:val="center"/>
          </w:tcPr>
          <w:p>
            <w:pPr>
              <w:widowControl/>
              <w:numPr>
                <w:ilvl w:val="0"/>
                <w:numId w:val="0"/>
              </w:numPr>
              <w:jc w:val="center"/>
              <w:textAlignment w:val="center"/>
              <w:rPr>
                <w:rFonts w:hint="eastAsia"/>
                <w:i w:val="0"/>
                <w:iCs w:val="0"/>
                <w:lang w:val="en-US" w:eastAsia="zh-CN"/>
              </w:rPr>
            </w:pPr>
            <w:r>
              <w:rPr>
                <w:rFonts w:hint="eastAsia"/>
                <w:i w:val="0"/>
                <w:iCs w:val="0"/>
                <w:lang w:val="en-US" w:eastAsia="zh-CN"/>
              </w:rPr>
              <w:t>1.垃圾桶规格尺寸长*宽*高：L730*W575*H1090mm(±5mm)(以上尺寸供参考，但必须满足侧装式垃圾车配套使用）。</w:t>
            </w:r>
          </w:p>
          <w:p>
            <w:pPr>
              <w:pStyle w:val="3"/>
              <w:numPr>
                <w:ilvl w:val="0"/>
                <w:numId w:val="0"/>
              </w:numPr>
              <w:rPr>
                <w:rFonts w:hint="default"/>
                <w:i w:val="0"/>
                <w:iCs w:val="0"/>
                <w:lang w:val="en-US" w:eastAsia="zh-CN"/>
              </w:rPr>
            </w:pPr>
            <w:r>
              <w:rPr>
                <w:rFonts w:hint="eastAsia"/>
                <w:i w:val="0"/>
                <w:iCs w:val="0"/>
                <w:lang w:val="en-US" w:eastAsia="zh-CN"/>
              </w:rPr>
              <w:t>2.☆产品重量：总重量15kg(±0.2KG),单桶净重量9.6kg（±0.2KG)（注：净重量只包含桶身，不包括滚轮、桶盖、轮轴、铰链等零部件重量）。</w:t>
            </w:r>
          </w:p>
          <w:p>
            <w:pPr>
              <w:pStyle w:val="23"/>
              <w:numPr>
                <w:ilvl w:val="0"/>
                <w:numId w:val="0"/>
              </w:numPr>
              <w:ind w:leftChars="0"/>
              <w:rPr>
                <w:rFonts w:hint="eastAsia"/>
                <w:i w:val="0"/>
                <w:iCs w:val="0"/>
                <w:lang w:val="en-US" w:eastAsia="zh-CN"/>
              </w:rPr>
            </w:pPr>
            <w:r>
              <w:rPr>
                <w:rFonts w:hint="eastAsia"/>
                <w:i w:val="0"/>
                <w:iCs w:val="0"/>
                <w:lang w:val="en-US" w:eastAsia="zh-CN"/>
              </w:rPr>
              <w:t>3.垃圾桶符合国家城镇建设行业《塑料垃圾桶通用技术条件》（CJ/T280-2020)标准要求。</w:t>
            </w:r>
          </w:p>
          <w:p>
            <w:pPr>
              <w:numPr>
                <w:ilvl w:val="0"/>
                <w:numId w:val="0"/>
              </w:numPr>
              <w:ind w:leftChars="0"/>
              <w:rPr>
                <w:rFonts w:hint="eastAsia"/>
                <w:i w:val="0"/>
                <w:iCs w:val="0"/>
                <w:lang w:val="en-US" w:eastAsia="zh-CN"/>
              </w:rPr>
            </w:pPr>
            <w:r>
              <w:rPr>
                <w:rFonts w:hint="eastAsia"/>
                <w:i w:val="0"/>
                <w:iCs w:val="0"/>
                <w:lang w:val="en-US" w:eastAsia="zh-CN"/>
              </w:rPr>
              <w:t>4.☆桶盖提手位置，盖子左右两个提手上都设有4条叠加筋，有效防止提手位置变形。</w:t>
            </w:r>
          </w:p>
          <w:p>
            <w:pPr>
              <w:pStyle w:val="3"/>
              <w:rPr>
                <w:rFonts w:hint="eastAsia"/>
                <w:i w:val="0"/>
                <w:iCs w:val="0"/>
                <w:lang w:val="en-US" w:eastAsia="zh-CN"/>
              </w:rPr>
            </w:pPr>
            <w:r>
              <w:rPr>
                <w:rFonts w:hint="eastAsia"/>
                <w:i w:val="0"/>
                <w:iCs w:val="0"/>
                <w:lang w:val="en-US" w:eastAsia="zh-CN"/>
              </w:rPr>
              <w:t>5.材料：采用高密度聚乙烯(HDPE)原生料一次性注塑成型，高温65℃、低温-30℃的气温下，不变形，不开裂。桶身1与桶盖密闭性强，桶颜色及分类标识符合新国标《生活垃圾分类标识》（GB/T19095-2019）规范。（提供国家认可的法定检测机构出具的具有CNAS或CMA标识带二维码的原材料检测报告复印件并加盖供应商鲜章）</w:t>
            </w:r>
          </w:p>
          <w:p>
            <w:pPr>
              <w:pStyle w:val="23"/>
              <w:rPr>
                <w:rFonts w:hint="eastAsia"/>
                <w:i w:val="0"/>
                <w:iCs w:val="0"/>
                <w:lang w:val="en-US" w:eastAsia="zh-CN"/>
              </w:rPr>
            </w:pPr>
            <w:r>
              <w:rPr>
                <w:rFonts w:hint="eastAsia"/>
                <w:i w:val="0"/>
                <w:iCs w:val="0"/>
                <w:lang w:val="en-US" w:eastAsia="zh-CN"/>
              </w:rPr>
              <w:t>6.☆桶身壁厚≧4mm,桶底壁厚≧5mm；桶盖厚度≧3.0mm。桶沿口两侧设有带波浪型加强筋，加强挂车时侧边拉伸强度，桶身左右两侧设有双层4条加强筋，增加垃圾桶挂车时增加垃圾桶挂车时的承载力：桶身设有两个垃圾袋挂扣，方便垃圾袋的使用。</w:t>
            </w:r>
          </w:p>
          <w:p>
            <w:pPr>
              <w:pStyle w:val="23"/>
              <w:rPr>
                <w:rFonts w:hint="eastAsia"/>
                <w:i w:val="0"/>
                <w:iCs w:val="0"/>
                <w:lang w:val="en-US" w:eastAsia="zh-CN"/>
              </w:rPr>
            </w:pPr>
            <w:r>
              <w:rPr>
                <w:rFonts w:hint="eastAsia"/>
                <w:i w:val="0"/>
                <w:iCs w:val="0"/>
                <w:lang w:val="en-US" w:eastAsia="zh-CN"/>
              </w:rPr>
              <w:t>7.☆桶底镶嵌 40 颗耐磨钉，并加设U型耐磨垫，增强垃圾桶底部耐磨性。</w:t>
            </w:r>
          </w:p>
          <w:p>
            <w:pPr>
              <w:pStyle w:val="23"/>
              <w:rPr>
                <w:rFonts w:hint="eastAsia"/>
                <w:i w:val="0"/>
                <w:iCs w:val="0"/>
                <w:lang w:val="en-US" w:eastAsia="zh-CN"/>
              </w:rPr>
            </w:pPr>
            <w:r>
              <w:rPr>
                <w:rFonts w:hint="eastAsia"/>
                <w:i w:val="0"/>
                <w:iCs w:val="0"/>
                <w:lang w:val="en-US" w:eastAsia="zh-CN"/>
              </w:rPr>
              <w:t>8.轮轴：材料为实心钢轴，直径≥20mm。強度满足实际需求，表面经过镀锌（厚度≥12μm） 防腐处理，坚固耐用。轮轴为插入防盗式结构。</w:t>
            </w:r>
          </w:p>
          <w:p>
            <w:pPr>
              <w:pStyle w:val="23"/>
              <w:rPr>
                <w:rFonts w:hint="eastAsia"/>
                <w:i w:val="0"/>
                <w:iCs w:val="0"/>
                <w:lang w:val="en-US" w:eastAsia="zh-CN"/>
              </w:rPr>
            </w:pPr>
            <w:r>
              <w:rPr>
                <w:rFonts w:hint="eastAsia"/>
                <w:i w:val="0"/>
                <w:iCs w:val="0"/>
                <w:lang w:val="en-US" w:eastAsia="zh-CN"/>
              </w:rPr>
              <w:t>9.轮子：毂及辋圈为高密度聚乙稀材质；轮胎为 100%橡胶材质。橡胶轮轮子直径≥240mm，厚度≥40mm。</w:t>
            </w:r>
          </w:p>
          <w:p>
            <w:pPr>
              <w:rPr>
                <w:rFonts w:hint="default"/>
                <w:i w:val="0"/>
                <w:iCs w:val="0"/>
                <w:lang w:val="en-US" w:eastAsia="zh-CN"/>
              </w:rPr>
            </w:pPr>
            <w:r>
              <w:rPr>
                <w:rFonts w:hint="default"/>
                <w:i w:val="0"/>
                <w:iCs w:val="0"/>
                <w:lang w:val="en-US" w:eastAsia="zh-CN"/>
              </w:rPr>
              <w:t>10.</w:t>
            </w:r>
            <w:r>
              <w:rPr>
                <w:rFonts w:hint="eastAsia"/>
                <w:i w:val="0"/>
                <w:iCs w:val="0"/>
                <w:lang w:val="en-US" w:eastAsia="zh-CN"/>
              </w:rPr>
              <w:t>☆</w:t>
            </w:r>
            <w:r>
              <w:rPr>
                <w:rFonts w:hint="default"/>
                <w:i w:val="0"/>
                <w:iCs w:val="0"/>
                <w:lang w:val="en-US" w:eastAsia="zh-CN"/>
              </w:rPr>
              <w:t xml:space="preserve"> 桶身背面下方设计注塑一体成型的双层方形四槽，凹槽中带有凹槽，桶身后面底部和轮轴接触处桶身凹陷，凹进深度和宽度合适方便作倾倒垃圾时把手使用，方便环卫工人倾</w:t>
            </w:r>
            <w:r>
              <w:rPr>
                <w:rFonts w:hint="eastAsia"/>
                <w:i w:val="0"/>
                <w:iCs w:val="0"/>
                <w:lang w:val="en-US" w:eastAsia="zh-CN"/>
              </w:rPr>
              <w:t>运</w:t>
            </w:r>
          </w:p>
        </w:tc>
        <w:tc>
          <w:tcPr>
            <w:tcW w:w="744"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个</w:t>
            </w:r>
          </w:p>
        </w:tc>
        <w:tc>
          <w:tcPr>
            <w:tcW w:w="742"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2700</w:t>
            </w:r>
          </w:p>
        </w:tc>
        <w:tc>
          <w:tcPr>
            <w:tcW w:w="928"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180.00</w:t>
            </w:r>
          </w:p>
        </w:tc>
        <w:tc>
          <w:tcPr>
            <w:tcW w:w="1270" w:type="dxa"/>
            <w:vAlign w:val="center"/>
          </w:tcPr>
          <w:p>
            <w:pPr>
              <w:pStyle w:val="3"/>
              <w:jc w:val="center"/>
              <w:rPr>
                <w:rFonts w:hint="default"/>
                <w:i w:val="0"/>
                <w:iCs w:val="0"/>
                <w:lang w:val="en-US" w:eastAsia="zh-CN"/>
              </w:rPr>
            </w:pPr>
            <w:r>
              <w:rPr>
                <w:rFonts w:hint="eastAsia"/>
                <w:i w:val="0"/>
                <w:iCs w:val="0"/>
                <w:lang w:val="en-US" w:eastAsia="zh-CN"/>
              </w:rPr>
              <w:t>486000.00</w:t>
            </w:r>
          </w:p>
        </w:tc>
        <w:tc>
          <w:tcPr>
            <w:tcW w:w="1089"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普通增值税发票</w:t>
            </w:r>
          </w:p>
        </w:tc>
        <w:tc>
          <w:tcPr>
            <w:tcW w:w="1366"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本次报价需考虑满足货物参数需求，包含货物运输、税金等费用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6" w:type="dxa"/>
            <w:vAlign w:val="center"/>
          </w:tcPr>
          <w:p>
            <w:pPr>
              <w:widowControl/>
              <w:jc w:val="center"/>
              <w:textAlignment w:val="center"/>
              <w:rPr>
                <w:rFonts w:hint="eastAsia"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合计</w:t>
            </w:r>
          </w:p>
        </w:tc>
        <w:tc>
          <w:tcPr>
            <w:tcW w:w="1302" w:type="dxa"/>
            <w:vAlign w:val="center"/>
          </w:tcPr>
          <w:p>
            <w:pPr>
              <w:widowControl/>
              <w:jc w:val="center"/>
              <w:textAlignment w:val="center"/>
              <w:rPr>
                <w:rFonts w:hint="eastAsia" w:ascii="仿宋" w:hAnsi="仿宋" w:eastAsia="仿宋" w:cs="仿宋"/>
                <w:i w:val="0"/>
                <w:iCs w:val="0"/>
                <w:color w:val="auto"/>
                <w:kern w:val="0"/>
                <w:sz w:val="21"/>
                <w:szCs w:val="21"/>
                <w:lang w:val="en-US" w:eastAsia="zh-CN" w:bidi="ar"/>
              </w:rPr>
            </w:pPr>
          </w:p>
        </w:tc>
        <w:tc>
          <w:tcPr>
            <w:tcW w:w="2911" w:type="dxa"/>
            <w:vAlign w:val="center"/>
          </w:tcPr>
          <w:p>
            <w:pPr>
              <w:rPr>
                <w:rFonts w:hint="default"/>
                <w:i w:val="0"/>
                <w:iCs w:val="0"/>
                <w:lang w:val="en-US" w:eastAsia="zh-CN"/>
              </w:rPr>
            </w:pPr>
          </w:p>
        </w:tc>
        <w:tc>
          <w:tcPr>
            <w:tcW w:w="744"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个</w:t>
            </w:r>
          </w:p>
        </w:tc>
        <w:tc>
          <w:tcPr>
            <w:tcW w:w="742"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p>
        </w:tc>
        <w:tc>
          <w:tcPr>
            <w:tcW w:w="928"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p>
        </w:tc>
        <w:tc>
          <w:tcPr>
            <w:tcW w:w="1270" w:type="dxa"/>
            <w:vAlign w:val="center"/>
          </w:tcPr>
          <w:p>
            <w:pPr>
              <w:pStyle w:val="3"/>
              <w:jc w:val="center"/>
              <w:rPr>
                <w:rFonts w:hint="default"/>
                <w:i w:val="0"/>
                <w:iCs w:val="0"/>
                <w:lang w:val="en-US" w:eastAsia="zh-CN"/>
              </w:rPr>
            </w:pPr>
            <w:r>
              <w:rPr>
                <w:rFonts w:hint="eastAsia"/>
                <w:i w:val="0"/>
                <w:iCs w:val="0"/>
                <w:lang w:val="en-US" w:eastAsia="zh-CN"/>
              </w:rPr>
              <w:t>486000.00</w:t>
            </w:r>
          </w:p>
        </w:tc>
        <w:tc>
          <w:tcPr>
            <w:tcW w:w="1089" w:type="dxa"/>
            <w:vAlign w:val="center"/>
          </w:tcPr>
          <w:p>
            <w:pPr>
              <w:widowControl/>
              <w:jc w:val="center"/>
              <w:textAlignment w:val="center"/>
              <w:rPr>
                <w:rFonts w:hint="eastAsia" w:ascii="仿宋" w:hAnsi="仿宋" w:eastAsia="仿宋" w:cs="仿宋"/>
                <w:i w:val="0"/>
                <w:iCs w:val="0"/>
                <w:color w:val="auto"/>
                <w:kern w:val="0"/>
                <w:sz w:val="21"/>
                <w:szCs w:val="21"/>
                <w:lang w:val="en-US" w:eastAsia="zh-CN" w:bidi="ar"/>
              </w:rPr>
            </w:pPr>
          </w:p>
        </w:tc>
        <w:tc>
          <w:tcPr>
            <w:tcW w:w="1366" w:type="dxa"/>
            <w:vAlign w:val="center"/>
          </w:tcPr>
          <w:p>
            <w:pPr>
              <w:widowControl/>
              <w:jc w:val="center"/>
              <w:textAlignment w:val="center"/>
              <w:rPr>
                <w:rFonts w:hint="eastAsia" w:ascii="仿宋" w:hAnsi="仿宋" w:eastAsia="仿宋" w:cs="仿宋"/>
                <w:i w:val="0"/>
                <w:iCs w:val="0"/>
                <w:color w:val="auto"/>
                <w:kern w:val="0"/>
                <w:sz w:val="21"/>
                <w:szCs w:val="21"/>
                <w:lang w:val="en-US" w:eastAsia="zh-CN" w:bidi="ar"/>
              </w:rPr>
            </w:pPr>
          </w:p>
        </w:tc>
      </w:tr>
    </w:tbl>
    <w:p>
      <w:pPr>
        <w:pStyle w:val="3"/>
        <w:rPr>
          <w:rStyle w:val="34"/>
          <w:rFonts w:hint="eastAsia" w:ascii="Times New Roman" w:hAnsi="Times New Roman" w:eastAsia="宋体" w:cs="Times New Roman"/>
          <w:i w:val="0"/>
          <w:iCs w:val="0"/>
          <w:sz w:val="32"/>
          <w:szCs w:val="32"/>
          <w:lang w:val="en-US" w:eastAsia="zh-CN"/>
        </w:rPr>
      </w:pPr>
    </w:p>
    <w:p>
      <w:pPr>
        <w:pStyle w:val="23"/>
        <w:rPr>
          <w:rFonts w:hint="eastAsia"/>
          <w:lang w:val="en-US" w:eastAsia="zh-CN"/>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注：1.</w:t>
      </w:r>
      <w:r>
        <w:rPr>
          <w:rFonts w:hint="eastAsia" w:asciiTheme="minorEastAsia" w:hAnsiTheme="minorEastAsia" w:cstheme="minorEastAsia"/>
          <w:kern w:val="0"/>
          <w:sz w:val="21"/>
          <w:szCs w:val="21"/>
          <w:lang w:val="en-US" w:eastAsia="zh-CN"/>
        </w:rPr>
        <w:t>各投标人报价一览表的各单项综合单价不得超过采购清单各单项的综合单价</w:t>
      </w:r>
      <w:r>
        <w:rPr>
          <w:rFonts w:hint="eastAsia" w:asciiTheme="minorEastAsia" w:hAnsiTheme="minorEastAsia" w:eastAsiaTheme="minorEastAsia" w:cstheme="minorEastAsia"/>
          <w:kern w:val="0"/>
          <w:sz w:val="21"/>
          <w:szCs w:val="21"/>
        </w:rPr>
        <w:t>。</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.报价单上的“单价”和“总价”</w:t>
      </w:r>
      <w:r>
        <w:rPr>
          <w:rFonts w:hint="eastAsia" w:asciiTheme="minorEastAsia" w:hAnsiTheme="minorEastAsia" w:cstheme="minorEastAsia"/>
          <w:kern w:val="0"/>
          <w:sz w:val="21"/>
          <w:szCs w:val="21"/>
          <w:lang w:val="en-US" w:eastAsia="zh-CN"/>
        </w:rPr>
        <w:t>包</w:t>
      </w:r>
      <w:r>
        <w:rPr>
          <w:rFonts w:hint="eastAsia" w:asciiTheme="minorEastAsia" w:hAnsiTheme="minorEastAsia" w:eastAsiaTheme="minorEastAsia" w:cstheme="minorEastAsia"/>
          <w:kern w:val="0"/>
          <w:sz w:val="21"/>
          <w:szCs w:val="21"/>
          <w:lang w:val="en-US" w:eastAsia="zh-CN"/>
        </w:rPr>
        <w:t>含</w:t>
      </w:r>
      <w:r>
        <w:rPr>
          <w:rFonts w:hint="eastAsia" w:asciiTheme="minorEastAsia" w:hAnsiTheme="minorEastAsia" w:cstheme="minorEastAsia"/>
          <w:kern w:val="0"/>
          <w:sz w:val="21"/>
          <w:szCs w:val="21"/>
          <w:lang w:val="en-US" w:eastAsia="zh-CN"/>
        </w:rPr>
        <w:t>但不限于管理、</w:t>
      </w:r>
      <w:r>
        <w:rPr>
          <w:rFonts w:hint="eastAsia" w:asciiTheme="minorEastAsia" w:hAnsiTheme="minorEastAsia" w:eastAsiaTheme="minorEastAsia" w:cstheme="minorEastAsia"/>
          <w:kern w:val="0"/>
          <w:sz w:val="21"/>
          <w:szCs w:val="21"/>
          <w:lang w:val="en-US" w:eastAsia="zh-CN"/>
        </w:rPr>
        <w:t>运输</w:t>
      </w:r>
      <w:r>
        <w:rPr>
          <w:rFonts w:hint="eastAsia" w:asciiTheme="minorEastAsia" w:hAnsiTheme="minorEastAsia" w:cstheme="minorEastAsia"/>
          <w:kern w:val="0"/>
          <w:sz w:val="21"/>
          <w:szCs w:val="21"/>
          <w:lang w:val="en-US" w:eastAsia="zh-CN"/>
        </w:rPr>
        <w:t>、上下车费、风险、保险、利润、税金</w:t>
      </w:r>
      <w:r>
        <w:rPr>
          <w:rFonts w:hint="eastAsia" w:asciiTheme="minorEastAsia" w:hAnsiTheme="minorEastAsia" w:eastAsiaTheme="minorEastAsia" w:cstheme="minorEastAsia"/>
          <w:kern w:val="0"/>
          <w:sz w:val="21"/>
          <w:szCs w:val="21"/>
          <w:lang w:val="en-US" w:eastAsia="zh-CN"/>
        </w:rPr>
        <w:t>等费用。</w:t>
      </w:r>
    </w:p>
    <w:p>
      <w:pPr>
        <w:pStyle w:val="23"/>
        <w:ind w:firstLine="420" w:firstLineChars="200"/>
        <w:rPr>
          <w:rFonts w:hint="eastAsia" w:asciiTheme="minorEastAsia" w:hAnsiTheme="minorEastAsia" w:cstheme="minorEastAsia"/>
          <w:i w:val="0"/>
          <w:iCs w:val="0"/>
          <w:color w:val="auto"/>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SA"/>
        </w:rPr>
        <w:t>3</w:t>
      </w:r>
      <w:r>
        <w:rPr>
          <w:rFonts w:hint="eastAsia" w:asciiTheme="minorEastAsia" w:hAnsiTheme="minorEastAsia" w:cstheme="minorEastAsia"/>
          <w:i w:val="0"/>
          <w:iCs w:val="0"/>
          <w:color w:val="auto"/>
          <w:kern w:val="0"/>
          <w:sz w:val="21"/>
          <w:szCs w:val="21"/>
          <w:lang w:val="en-US" w:eastAsia="zh-CN" w:bidi="ar-SA"/>
        </w:rPr>
        <w:t>.大批量供应前需提供样品，得到采购方和使用方的许可后方可供应。</w:t>
      </w:r>
    </w:p>
    <w:p>
      <w:pPr>
        <w:pStyle w:val="2"/>
        <w:ind w:firstLine="422" w:firstLineChars="200"/>
        <w:rPr>
          <w:rFonts w:hint="default"/>
          <w:b/>
          <w:bCs/>
          <w:color w:val="0000FF"/>
          <w:lang w:val="en-US" w:eastAsia="zh-CN"/>
        </w:rPr>
        <w:sectPr>
          <w:pgSz w:w="16838" w:h="11906" w:orient="landscape"/>
          <w:pgMar w:top="1803" w:right="1440" w:bottom="1803" w:left="1440" w:header="851" w:footer="992" w:gutter="0"/>
          <w:pgNumType w:start="0"/>
          <w:cols w:space="0" w:num="1"/>
          <w:rtlGutter w:val="0"/>
          <w:docGrid w:type="lines" w:linePitch="319" w:charSpace="0"/>
        </w:sectPr>
      </w:pPr>
      <w:r>
        <w:rPr>
          <w:rFonts w:hint="eastAsia"/>
          <w:b/>
          <w:bCs/>
          <w:color w:val="0000FF"/>
          <w:lang w:val="en-US" w:eastAsia="zh-CN"/>
        </w:rPr>
        <w:t>4.</w:t>
      </w:r>
      <w:r>
        <w:rPr>
          <w:rFonts w:hint="eastAsia" w:asciiTheme="minorEastAsia" w:hAnsiTheme="minorEastAsia" w:eastAsiaTheme="minorEastAsia" w:cstheme="minorEastAsia"/>
          <w:b/>
          <w:bCs/>
          <w:i w:val="0"/>
          <w:iCs w:val="0"/>
          <w:color w:val="0000FF"/>
          <w:kern w:val="0"/>
          <w:sz w:val="21"/>
          <w:szCs w:val="21"/>
          <w:lang w:val="en-US" w:eastAsia="zh-CN" w:bidi="ar-SA"/>
        </w:rPr>
        <w:t>乙方提供的产品参数必须满足招标文件技术参数清单，否则视为违约</w:t>
      </w:r>
      <w:r>
        <w:rPr>
          <w:rFonts w:hint="eastAsia" w:asciiTheme="minorEastAsia" w:hAnsiTheme="minorEastAsia" w:cstheme="minorEastAsia"/>
          <w:b/>
          <w:bCs/>
          <w:i w:val="0"/>
          <w:iCs w:val="0"/>
          <w:color w:val="0000FF"/>
          <w:kern w:val="0"/>
          <w:sz w:val="21"/>
          <w:szCs w:val="21"/>
          <w:lang w:val="en-US" w:eastAsia="zh-CN" w:bidi="ar-SA"/>
        </w:rPr>
        <w:t>。</w:t>
      </w:r>
    </w:p>
    <w:p>
      <w:pPr>
        <w:jc w:val="center"/>
        <w:rPr>
          <w:rStyle w:val="34"/>
          <w:rFonts w:hint="eastAsia"/>
          <w:sz w:val="32"/>
          <w:szCs w:val="32"/>
          <w:lang w:val="en-US" w:eastAsia="zh-CN"/>
        </w:rPr>
        <w:sectPr>
          <w:footerReference r:id="rId4" w:type="default"/>
          <w:pgSz w:w="11906" w:h="16838"/>
          <w:pgMar w:top="1440" w:right="1800" w:bottom="1440" w:left="1800" w:header="851" w:footer="992" w:gutter="0"/>
          <w:pgNumType w:start="0"/>
          <w:cols w:space="0" w:num="1"/>
          <w:rtlGutter w:val="0"/>
          <w:docGrid w:type="lines" w:linePitch="312" w:charSpace="0"/>
        </w:sectPr>
      </w:pPr>
      <w:bookmarkStart w:id="15" w:name="_Toc31016"/>
      <w:bookmarkStart w:id="16" w:name="_Toc21698"/>
    </w:p>
    <w:p>
      <w:pPr>
        <w:jc w:val="center"/>
        <w:rPr>
          <w:rFonts w:hint="default"/>
          <w:lang w:val="en-US"/>
        </w:rPr>
      </w:pPr>
      <w:r>
        <w:rPr>
          <w:rStyle w:val="34"/>
          <w:rFonts w:hint="eastAsia"/>
          <w:sz w:val="32"/>
          <w:szCs w:val="32"/>
          <w:lang w:val="en-US" w:eastAsia="zh-CN"/>
        </w:rPr>
        <w:t>第六章 响应文件格式</w:t>
      </w:r>
      <w:bookmarkEnd w:id="15"/>
      <w:bookmarkEnd w:id="16"/>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二、报价一览表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四、拟提供产品性能及参数概况表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六、承诺函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1、我方自愿按照询价文件规定的各项要求向采购人提供所需货物，提供货物总价报价为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numPr>
          <w:ilvl w:val="0"/>
          <w:numId w:val="4"/>
        </w:numPr>
        <w:jc w:val="center"/>
        <w:rPr>
          <w:rFonts w:hint="eastAsia" w:ascii="宋体" w:hAnsi="宋体" w:eastAsia="宋体" w:cs="宋体"/>
          <w:b/>
          <w:bCs/>
          <w:sz w:val="24"/>
          <w:szCs w:val="24"/>
        </w:rPr>
      </w:pPr>
      <w:r>
        <w:rPr>
          <w:rFonts w:hint="eastAsia" w:ascii="宋体" w:hAnsi="宋体" w:eastAsia="宋体" w:cs="宋体"/>
          <w:b/>
          <w:bCs/>
          <w:sz w:val="24"/>
          <w:szCs w:val="24"/>
        </w:rPr>
        <w:t>报价一览表</w:t>
      </w:r>
    </w:p>
    <w:tbl>
      <w:tblPr>
        <w:tblStyle w:val="19"/>
        <w:tblpPr w:leftFromText="180" w:rightFromText="180" w:vertAnchor="text" w:horzAnchor="page" w:tblpX="3171" w:tblpY="628"/>
        <w:tblOverlap w:val="never"/>
        <w:tblW w:w="10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02"/>
        <w:gridCol w:w="2911"/>
        <w:gridCol w:w="744"/>
        <w:gridCol w:w="742"/>
        <w:gridCol w:w="928"/>
        <w:gridCol w:w="1270"/>
        <w:gridCol w:w="1089"/>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36"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序号</w:t>
            </w:r>
          </w:p>
        </w:tc>
        <w:tc>
          <w:tcPr>
            <w:tcW w:w="1302"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名称</w:t>
            </w:r>
          </w:p>
        </w:tc>
        <w:tc>
          <w:tcPr>
            <w:tcW w:w="2911"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kern w:val="0"/>
                <w:sz w:val="21"/>
                <w:szCs w:val="21"/>
                <w:lang w:val="en-US" w:eastAsia="zh-CN" w:bidi="ar"/>
              </w:rPr>
              <w:t>型号/规格/特征描述/参数</w:t>
            </w:r>
          </w:p>
        </w:tc>
        <w:tc>
          <w:tcPr>
            <w:tcW w:w="744" w:type="dxa"/>
            <w:vAlign w:val="center"/>
          </w:tcPr>
          <w:p>
            <w:pPr>
              <w:widowControl/>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val="en-US" w:eastAsia="zh-CN" w:bidi="ar"/>
              </w:rPr>
              <w:t>单位</w:t>
            </w:r>
          </w:p>
        </w:tc>
        <w:tc>
          <w:tcPr>
            <w:tcW w:w="742"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数量</w:t>
            </w:r>
          </w:p>
        </w:tc>
        <w:tc>
          <w:tcPr>
            <w:tcW w:w="928"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综合单价（元）</w:t>
            </w:r>
          </w:p>
        </w:tc>
        <w:tc>
          <w:tcPr>
            <w:tcW w:w="1270"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合计（元）</w:t>
            </w:r>
          </w:p>
        </w:tc>
        <w:tc>
          <w:tcPr>
            <w:tcW w:w="1089"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开票税率要求</w:t>
            </w:r>
          </w:p>
        </w:tc>
        <w:tc>
          <w:tcPr>
            <w:tcW w:w="1366" w:type="dxa"/>
            <w:vAlign w:val="center"/>
          </w:tcPr>
          <w:p>
            <w:pPr>
              <w:widowControl/>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3" w:hRule="atLeast"/>
        </w:trPr>
        <w:tc>
          <w:tcPr>
            <w:tcW w:w="636" w:type="dxa"/>
            <w:vAlign w:val="center"/>
          </w:tcPr>
          <w:p>
            <w:pPr>
              <w:widowControl/>
              <w:jc w:val="center"/>
              <w:textAlignment w:val="center"/>
              <w:rPr>
                <w:rFonts w:hint="eastAsia" w:ascii="仿宋" w:hAnsi="仿宋" w:eastAsia="仿宋" w:cs="仿宋"/>
                <w:i w:val="0"/>
                <w:iCs w:val="0"/>
                <w:color w:val="auto"/>
                <w:kern w:val="0"/>
                <w:sz w:val="21"/>
                <w:szCs w:val="21"/>
                <w:lang w:bidi="ar"/>
              </w:rPr>
            </w:pPr>
            <w:r>
              <w:rPr>
                <w:rFonts w:hint="eastAsia" w:ascii="仿宋" w:hAnsi="仿宋" w:eastAsia="仿宋" w:cs="仿宋"/>
                <w:i w:val="0"/>
                <w:iCs w:val="0"/>
                <w:color w:val="auto"/>
                <w:kern w:val="0"/>
                <w:sz w:val="21"/>
                <w:szCs w:val="21"/>
                <w:lang w:bidi="ar"/>
              </w:rPr>
              <w:t>1</w:t>
            </w:r>
          </w:p>
        </w:tc>
        <w:tc>
          <w:tcPr>
            <w:tcW w:w="1302"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240升垃圾分类桶</w:t>
            </w:r>
          </w:p>
        </w:tc>
        <w:tc>
          <w:tcPr>
            <w:tcW w:w="2911" w:type="dxa"/>
            <w:vAlign w:val="center"/>
          </w:tcPr>
          <w:p>
            <w:pPr>
              <w:widowControl/>
              <w:numPr>
                <w:ilvl w:val="0"/>
                <w:numId w:val="0"/>
              </w:numPr>
              <w:jc w:val="center"/>
              <w:textAlignment w:val="center"/>
              <w:rPr>
                <w:rFonts w:hint="eastAsia"/>
                <w:i w:val="0"/>
                <w:iCs w:val="0"/>
                <w:lang w:val="en-US" w:eastAsia="zh-CN"/>
              </w:rPr>
            </w:pPr>
            <w:r>
              <w:rPr>
                <w:rFonts w:hint="eastAsia"/>
                <w:i w:val="0"/>
                <w:iCs w:val="0"/>
                <w:lang w:val="en-US" w:eastAsia="zh-CN"/>
              </w:rPr>
              <w:t>1.垃圾桶规格尺寸长*宽*高：L730*W575*H1090mm(±5mm)(以上尺寸供参考，但必须满足侧装式垃圾车配套使用）。</w:t>
            </w:r>
          </w:p>
          <w:p>
            <w:pPr>
              <w:pStyle w:val="3"/>
              <w:numPr>
                <w:ilvl w:val="0"/>
                <w:numId w:val="0"/>
              </w:numPr>
              <w:rPr>
                <w:rFonts w:hint="default"/>
                <w:i w:val="0"/>
                <w:iCs w:val="0"/>
                <w:lang w:val="en-US" w:eastAsia="zh-CN"/>
              </w:rPr>
            </w:pPr>
            <w:r>
              <w:rPr>
                <w:rFonts w:hint="eastAsia"/>
                <w:i w:val="0"/>
                <w:iCs w:val="0"/>
                <w:lang w:val="en-US" w:eastAsia="zh-CN"/>
              </w:rPr>
              <w:t>2.☆产品重量：总重量15kg(±0.2KG),单桶净重量9.6kg（±0.2KG)（注：净重量只包含桶身，不包括滚轮、桶盖、轮轴、铰链等零部件重量）。</w:t>
            </w:r>
          </w:p>
          <w:p>
            <w:pPr>
              <w:pStyle w:val="23"/>
              <w:numPr>
                <w:ilvl w:val="0"/>
                <w:numId w:val="0"/>
              </w:numPr>
              <w:ind w:leftChars="0"/>
              <w:rPr>
                <w:rFonts w:hint="eastAsia"/>
                <w:i w:val="0"/>
                <w:iCs w:val="0"/>
                <w:lang w:val="en-US" w:eastAsia="zh-CN"/>
              </w:rPr>
            </w:pPr>
            <w:r>
              <w:rPr>
                <w:rFonts w:hint="eastAsia"/>
                <w:i w:val="0"/>
                <w:iCs w:val="0"/>
                <w:lang w:val="en-US" w:eastAsia="zh-CN"/>
              </w:rPr>
              <w:t>3.垃圾桶符合国家城镇建设行业《塑料垃圾桶通用技术条件》（CJ/T280-2020)标准要求。</w:t>
            </w:r>
          </w:p>
          <w:p>
            <w:pPr>
              <w:numPr>
                <w:ilvl w:val="0"/>
                <w:numId w:val="0"/>
              </w:numPr>
              <w:ind w:leftChars="0"/>
              <w:rPr>
                <w:rFonts w:hint="eastAsia"/>
                <w:i w:val="0"/>
                <w:iCs w:val="0"/>
                <w:lang w:val="en-US" w:eastAsia="zh-CN"/>
              </w:rPr>
            </w:pPr>
            <w:r>
              <w:rPr>
                <w:rFonts w:hint="eastAsia"/>
                <w:i w:val="0"/>
                <w:iCs w:val="0"/>
                <w:lang w:val="en-US" w:eastAsia="zh-CN"/>
              </w:rPr>
              <w:t>4.☆桶盖提手位置，盖子左右两个提手上都设有4条叠加筋，有效防止提手位置变形。</w:t>
            </w:r>
          </w:p>
          <w:p>
            <w:pPr>
              <w:pStyle w:val="3"/>
              <w:rPr>
                <w:rFonts w:hint="eastAsia"/>
                <w:i w:val="0"/>
                <w:iCs w:val="0"/>
                <w:lang w:val="en-US" w:eastAsia="zh-CN"/>
              </w:rPr>
            </w:pPr>
            <w:r>
              <w:rPr>
                <w:rFonts w:hint="eastAsia"/>
                <w:i w:val="0"/>
                <w:iCs w:val="0"/>
                <w:lang w:val="en-US" w:eastAsia="zh-CN"/>
              </w:rPr>
              <w:t>5.材料：采用高密度聚乙烯(HDPE)原生料一次性注塑成型，高温65℃、低温-30℃的气温下，不变形，不开裂。桶身1与桶盖密闭性强，桶颜色及分类标识符合新国标《生活垃圾分类标识》（GB/T19095-2019）规范。（提供国家认可的法定检测机构出具的具有CNAS或CMA标识带二维码的原材料检测报告复印件并加盖供应商鲜章）</w:t>
            </w:r>
          </w:p>
          <w:p>
            <w:pPr>
              <w:pStyle w:val="23"/>
              <w:rPr>
                <w:rFonts w:hint="eastAsia"/>
                <w:i w:val="0"/>
                <w:iCs w:val="0"/>
                <w:lang w:val="en-US" w:eastAsia="zh-CN"/>
              </w:rPr>
            </w:pPr>
            <w:r>
              <w:rPr>
                <w:rFonts w:hint="eastAsia"/>
                <w:i w:val="0"/>
                <w:iCs w:val="0"/>
                <w:lang w:val="en-US" w:eastAsia="zh-CN"/>
              </w:rPr>
              <w:t>6.☆桶身壁厚≧4mm,桶底壁厚≧5mm；桶盖厚度≧3.0mm。桶沿口两侧设有带波浪型加强筋，加强挂车时侧边拉伸强度，桶身左右两侧设有双层4条加强筋，增加垃圾桶挂车时增加垃圾桶挂车时的承载力：桶身设有两个垃圾袋挂扣，方便垃圾袋的使用。</w:t>
            </w:r>
          </w:p>
          <w:p>
            <w:pPr>
              <w:pStyle w:val="23"/>
              <w:rPr>
                <w:rFonts w:hint="eastAsia"/>
                <w:i w:val="0"/>
                <w:iCs w:val="0"/>
                <w:lang w:val="en-US" w:eastAsia="zh-CN"/>
              </w:rPr>
            </w:pPr>
            <w:r>
              <w:rPr>
                <w:rFonts w:hint="eastAsia"/>
                <w:i w:val="0"/>
                <w:iCs w:val="0"/>
                <w:lang w:val="en-US" w:eastAsia="zh-CN"/>
              </w:rPr>
              <w:t>7.☆桶底镶嵌 40 颗耐磨钉，并加设U型耐磨垫，增强垃圾桶底部耐磨性。</w:t>
            </w:r>
          </w:p>
          <w:p>
            <w:pPr>
              <w:pStyle w:val="23"/>
              <w:rPr>
                <w:rFonts w:hint="eastAsia"/>
                <w:i w:val="0"/>
                <w:iCs w:val="0"/>
                <w:lang w:val="en-US" w:eastAsia="zh-CN"/>
              </w:rPr>
            </w:pPr>
            <w:r>
              <w:rPr>
                <w:rFonts w:hint="eastAsia"/>
                <w:i w:val="0"/>
                <w:iCs w:val="0"/>
                <w:lang w:val="en-US" w:eastAsia="zh-CN"/>
              </w:rPr>
              <w:t>8.轮轴：材料为实心钢轴，直径≥20mm。強度满足实际需求，表面经过镀锌（厚度≥12μm） 防腐处理，坚固耐用。轮轴为插入防盗式结构。</w:t>
            </w:r>
          </w:p>
          <w:p>
            <w:pPr>
              <w:pStyle w:val="23"/>
              <w:rPr>
                <w:rFonts w:hint="eastAsia"/>
                <w:i w:val="0"/>
                <w:iCs w:val="0"/>
                <w:lang w:val="en-US" w:eastAsia="zh-CN"/>
              </w:rPr>
            </w:pPr>
            <w:r>
              <w:rPr>
                <w:rFonts w:hint="eastAsia"/>
                <w:i w:val="0"/>
                <w:iCs w:val="0"/>
                <w:lang w:val="en-US" w:eastAsia="zh-CN"/>
              </w:rPr>
              <w:t>9.轮子：毂及辋圈为高密度聚乙稀材质；轮胎为 100%橡胶材质。橡胶轮轮子直径≥240mm，厚度≥40mm。</w:t>
            </w:r>
          </w:p>
          <w:p>
            <w:pPr>
              <w:rPr>
                <w:rFonts w:hint="default"/>
                <w:i w:val="0"/>
                <w:iCs w:val="0"/>
                <w:lang w:val="en-US" w:eastAsia="zh-CN"/>
              </w:rPr>
            </w:pPr>
            <w:r>
              <w:rPr>
                <w:rFonts w:hint="default"/>
                <w:i w:val="0"/>
                <w:iCs w:val="0"/>
                <w:lang w:val="en-US" w:eastAsia="zh-CN"/>
              </w:rPr>
              <w:t>10.</w:t>
            </w:r>
            <w:r>
              <w:rPr>
                <w:rFonts w:hint="eastAsia"/>
                <w:i w:val="0"/>
                <w:iCs w:val="0"/>
                <w:lang w:val="en-US" w:eastAsia="zh-CN"/>
              </w:rPr>
              <w:t>☆</w:t>
            </w:r>
            <w:r>
              <w:rPr>
                <w:rFonts w:hint="default"/>
                <w:i w:val="0"/>
                <w:iCs w:val="0"/>
                <w:lang w:val="en-US" w:eastAsia="zh-CN"/>
              </w:rPr>
              <w:t xml:space="preserve"> 桶身背面下方设计注塑一体成型的双层方形四槽，凹槽中带有凹槽，桶身后面底部和轮轴接触处桶身凹陷，凹进深度和宽度合适方便作倾倒垃圾时把手使用，方便环卫工人倾</w:t>
            </w:r>
            <w:r>
              <w:rPr>
                <w:rFonts w:hint="eastAsia"/>
                <w:i w:val="0"/>
                <w:iCs w:val="0"/>
                <w:lang w:val="en-US" w:eastAsia="zh-CN"/>
              </w:rPr>
              <w:t>运</w:t>
            </w:r>
          </w:p>
        </w:tc>
        <w:tc>
          <w:tcPr>
            <w:tcW w:w="744"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个</w:t>
            </w:r>
          </w:p>
        </w:tc>
        <w:tc>
          <w:tcPr>
            <w:tcW w:w="742"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2700</w:t>
            </w:r>
          </w:p>
        </w:tc>
        <w:tc>
          <w:tcPr>
            <w:tcW w:w="928"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p>
        </w:tc>
        <w:tc>
          <w:tcPr>
            <w:tcW w:w="1270" w:type="dxa"/>
            <w:vAlign w:val="center"/>
          </w:tcPr>
          <w:p>
            <w:pPr>
              <w:pStyle w:val="3"/>
              <w:jc w:val="center"/>
              <w:rPr>
                <w:rFonts w:hint="default"/>
                <w:i w:val="0"/>
                <w:iCs w:val="0"/>
                <w:lang w:val="en-US" w:eastAsia="zh-CN"/>
              </w:rPr>
            </w:pPr>
          </w:p>
        </w:tc>
        <w:tc>
          <w:tcPr>
            <w:tcW w:w="1089"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普通增值税发票</w:t>
            </w:r>
          </w:p>
        </w:tc>
        <w:tc>
          <w:tcPr>
            <w:tcW w:w="1366"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本次报价需考虑满足货物参数需求，包含货物运输、税金等费用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36" w:type="dxa"/>
            <w:vAlign w:val="center"/>
          </w:tcPr>
          <w:p>
            <w:pPr>
              <w:widowControl/>
              <w:jc w:val="center"/>
              <w:textAlignment w:val="center"/>
              <w:rPr>
                <w:rFonts w:hint="eastAsia" w:ascii="仿宋" w:hAnsi="仿宋" w:eastAsia="仿宋" w:cs="仿宋"/>
                <w:i w:val="0"/>
                <w:iCs w:val="0"/>
                <w:color w:val="auto"/>
                <w:kern w:val="0"/>
                <w:sz w:val="21"/>
                <w:szCs w:val="21"/>
                <w:lang w:val="en-US" w:eastAsia="zh-CN" w:bidi="ar"/>
              </w:rPr>
            </w:pPr>
            <w:r>
              <w:rPr>
                <w:rFonts w:hint="eastAsia" w:ascii="仿宋" w:hAnsi="仿宋" w:eastAsia="仿宋" w:cs="仿宋"/>
                <w:i w:val="0"/>
                <w:iCs w:val="0"/>
                <w:color w:val="auto"/>
                <w:kern w:val="0"/>
                <w:sz w:val="21"/>
                <w:szCs w:val="21"/>
                <w:lang w:val="en-US" w:eastAsia="zh-CN" w:bidi="ar"/>
              </w:rPr>
              <w:t>合计</w:t>
            </w:r>
          </w:p>
        </w:tc>
        <w:tc>
          <w:tcPr>
            <w:tcW w:w="1302" w:type="dxa"/>
            <w:vAlign w:val="center"/>
          </w:tcPr>
          <w:p>
            <w:pPr>
              <w:widowControl/>
              <w:jc w:val="center"/>
              <w:textAlignment w:val="center"/>
              <w:rPr>
                <w:rFonts w:hint="eastAsia" w:ascii="仿宋" w:hAnsi="仿宋" w:eastAsia="仿宋" w:cs="仿宋"/>
                <w:i w:val="0"/>
                <w:iCs w:val="0"/>
                <w:color w:val="auto"/>
                <w:kern w:val="0"/>
                <w:sz w:val="21"/>
                <w:szCs w:val="21"/>
                <w:lang w:val="en-US" w:eastAsia="zh-CN" w:bidi="ar"/>
              </w:rPr>
            </w:pPr>
          </w:p>
        </w:tc>
        <w:tc>
          <w:tcPr>
            <w:tcW w:w="2911" w:type="dxa"/>
            <w:vAlign w:val="center"/>
          </w:tcPr>
          <w:p>
            <w:pPr>
              <w:rPr>
                <w:rFonts w:hint="default"/>
                <w:i w:val="0"/>
                <w:iCs w:val="0"/>
                <w:lang w:val="en-US" w:eastAsia="zh-CN"/>
              </w:rPr>
            </w:pPr>
          </w:p>
        </w:tc>
        <w:tc>
          <w:tcPr>
            <w:tcW w:w="744"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p>
        </w:tc>
        <w:tc>
          <w:tcPr>
            <w:tcW w:w="742"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p>
        </w:tc>
        <w:tc>
          <w:tcPr>
            <w:tcW w:w="928" w:type="dxa"/>
            <w:vAlign w:val="center"/>
          </w:tcPr>
          <w:p>
            <w:pPr>
              <w:widowControl/>
              <w:jc w:val="center"/>
              <w:textAlignment w:val="center"/>
              <w:rPr>
                <w:rFonts w:hint="default" w:ascii="仿宋" w:hAnsi="仿宋" w:eastAsia="仿宋" w:cs="仿宋"/>
                <w:i w:val="0"/>
                <w:iCs w:val="0"/>
                <w:color w:val="auto"/>
                <w:kern w:val="0"/>
                <w:sz w:val="21"/>
                <w:szCs w:val="21"/>
                <w:lang w:val="en-US" w:eastAsia="zh-CN" w:bidi="ar"/>
              </w:rPr>
            </w:pPr>
          </w:p>
        </w:tc>
        <w:tc>
          <w:tcPr>
            <w:tcW w:w="1270" w:type="dxa"/>
            <w:vAlign w:val="center"/>
          </w:tcPr>
          <w:p>
            <w:pPr>
              <w:pStyle w:val="3"/>
              <w:jc w:val="center"/>
              <w:rPr>
                <w:rFonts w:hint="default"/>
                <w:i w:val="0"/>
                <w:iCs w:val="0"/>
                <w:lang w:val="en-US" w:eastAsia="zh-CN"/>
              </w:rPr>
            </w:pPr>
          </w:p>
        </w:tc>
        <w:tc>
          <w:tcPr>
            <w:tcW w:w="1089" w:type="dxa"/>
            <w:vAlign w:val="center"/>
          </w:tcPr>
          <w:p>
            <w:pPr>
              <w:widowControl/>
              <w:jc w:val="center"/>
              <w:textAlignment w:val="center"/>
              <w:rPr>
                <w:rFonts w:hint="eastAsia" w:ascii="仿宋" w:hAnsi="仿宋" w:eastAsia="仿宋" w:cs="仿宋"/>
                <w:i w:val="0"/>
                <w:iCs w:val="0"/>
                <w:color w:val="auto"/>
                <w:kern w:val="0"/>
                <w:sz w:val="21"/>
                <w:szCs w:val="21"/>
                <w:lang w:val="en-US" w:eastAsia="zh-CN" w:bidi="ar"/>
              </w:rPr>
            </w:pPr>
          </w:p>
        </w:tc>
        <w:tc>
          <w:tcPr>
            <w:tcW w:w="1366" w:type="dxa"/>
            <w:vAlign w:val="center"/>
          </w:tcPr>
          <w:p>
            <w:pPr>
              <w:widowControl/>
              <w:jc w:val="center"/>
              <w:textAlignment w:val="center"/>
              <w:rPr>
                <w:rFonts w:hint="eastAsia" w:ascii="仿宋" w:hAnsi="仿宋" w:eastAsia="仿宋" w:cs="仿宋"/>
                <w:i w:val="0"/>
                <w:iCs w:val="0"/>
                <w:color w:val="auto"/>
                <w:kern w:val="0"/>
                <w:sz w:val="21"/>
                <w:szCs w:val="21"/>
                <w:lang w:val="en-US" w:eastAsia="zh-CN" w:bidi="ar"/>
              </w:rPr>
            </w:pPr>
          </w:p>
        </w:tc>
      </w:tr>
    </w:tbl>
    <w:p>
      <w:pPr>
        <w:pStyle w:val="3"/>
        <w:numPr>
          <w:ilvl w:val="0"/>
          <w:numId w:val="0"/>
        </w:num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注：1. 若用小写表示的金额和用大写表示的金额不一致，以大写表示的金额为准。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3.报价单上的“单价”和“总价”</w:t>
      </w:r>
      <w:r>
        <w:rPr>
          <w:rFonts w:hint="eastAsia" w:asciiTheme="minorEastAsia" w:hAnsiTheme="minorEastAsia" w:cstheme="minorEastAsia"/>
          <w:kern w:val="0"/>
          <w:sz w:val="21"/>
          <w:szCs w:val="21"/>
          <w:lang w:val="en-US" w:eastAsia="zh-CN"/>
        </w:rPr>
        <w:t>包含但不限于询价文件第五章采购清单注释所有</w:t>
      </w:r>
      <w:r>
        <w:rPr>
          <w:rFonts w:hint="eastAsia" w:asciiTheme="minorEastAsia" w:hAnsiTheme="minorEastAsia" w:eastAsiaTheme="minorEastAsia" w:cstheme="minorEastAsia"/>
          <w:kern w:val="0"/>
          <w:sz w:val="21"/>
          <w:szCs w:val="21"/>
          <w:lang w:val="en-US" w:eastAsia="zh-CN"/>
        </w:rPr>
        <w:t>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cstheme="minorEastAsia"/>
          <w:color w:val="000000"/>
          <w:kern w:val="0"/>
          <w:sz w:val="21"/>
          <w:szCs w:val="21"/>
          <w:lang w:val="en-US" w:eastAsia="zh-CN"/>
        </w:rPr>
        <w:t>供应商</w:t>
      </w:r>
      <w:r>
        <w:rPr>
          <w:rFonts w:hint="eastAsia" w:asciiTheme="minorEastAsia" w:hAnsiTheme="minorEastAsia" w:eastAsiaTheme="minorEastAsia" w:cstheme="minorEastAsia"/>
          <w:color w:val="000000"/>
          <w:kern w:val="0"/>
          <w:sz w:val="21"/>
          <w:szCs w:val="21"/>
        </w:rPr>
        <w:t>名称：</w:t>
      </w:r>
      <w:r>
        <w:rPr>
          <w:rFonts w:hint="eastAsia" w:asciiTheme="minorEastAsia" w:hAnsiTheme="minorEastAsia" w:eastAsiaTheme="minorEastAsia" w:cstheme="minorEastAsia"/>
          <w:color w:val="000000"/>
          <w:kern w:val="0"/>
          <w:sz w:val="21"/>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法定代表人或委托代理人：</w:t>
      </w:r>
      <w:r>
        <w:rPr>
          <w:rFonts w:hint="eastAsia" w:asciiTheme="minorEastAsia" w:hAnsiTheme="minorEastAsia" w:eastAsiaTheme="minorEastAsia" w:cstheme="minorEastAsia"/>
          <w:color w:val="000000"/>
          <w:kern w:val="0"/>
          <w:sz w:val="21"/>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日期：</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月</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日</w:t>
      </w:r>
    </w:p>
    <w:p>
      <w:pPr>
        <w:rPr>
          <w:rFonts w:hint="eastAsia"/>
        </w:rPr>
        <w:sectPr>
          <w:pgSz w:w="16838" w:h="11906" w:orient="landscape"/>
          <w:pgMar w:top="1803" w:right="1440" w:bottom="1803" w:left="1440" w:header="851" w:footer="992" w:gutter="0"/>
          <w:pgNumType w:start="0"/>
          <w:cols w:space="0" w:num="1"/>
          <w:rtlGutter w:val="0"/>
          <w:docGrid w:type="lines" w:linePitch="319" w:charSpace="0"/>
        </w:sectPr>
      </w:pPr>
    </w:p>
    <w:p>
      <w:pPr>
        <w:rPr>
          <w:rFonts w:ascii="仿宋" w:hAnsi="仿宋" w:eastAsia="仿宋" w:cs="仿宋"/>
          <w:b/>
          <w:bCs/>
          <w:sz w:val="32"/>
          <w:szCs w:val="32"/>
        </w:rPr>
      </w:pPr>
    </w:p>
    <w:p>
      <w:pPr>
        <w:pStyle w:val="5"/>
        <w:spacing w:line="360" w:lineRule="auto"/>
        <w:jc w:val="center"/>
        <w:outlineLvl w:val="0"/>
        <w:rPr>
          <w:rFonts w:hint="eastAsia" w:ascii="宋体" w:hAnsi="宋体" w:eastAsia="宋体" w:cs="宋体"/>
          <w:color w:val="auto"/>
          <w:kern w:val="0"/>
          <w:sz w:val="24"/>
          <w:szCs w:val="24"/>
        </w:rPr>
      </w:pPr>
      <w:bookmarkStart w:id="17" w:name="_Toc4838"/>
      <w:bookmarkStart w:id="18" w:name="_Toc2126"/>
      <w:bookmarkStart w:id="19" w:name="_Toc8041"/>
      <w:bookmarkStart w:id="20" w:name="_Toc15603"/>
      <w:bookmarkStart w:id="21" w:name="_Toc27003"/>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、响应人基本情况表</w:t>
      </w:r>
      <w:bookmarkEnd w:id="17"/>
      <w:bookmarkEnd w:id="18"/>
      <w:bookmarkEnd w:id="19"/>
      <w:bookmarkEnd w:id="20"/>
      <w:bookmarkEnd w:id="21"/>
      <w:r>
        <w:rPr>
          <w:rFonts w:hint="eastAsia" w:ascii="宋体" w:hAnsi="宋体" w:eastAsia="宋体" w:cs="宋体"/>
          <w:color w:val="auto"/>
          <w:sz w:val="24"/>
          <w:szCs w:val="24"/>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adjustRightInd w:val="0"/>
        <w:snapToGrid w:val="0"/>
        <w:spacing w:line="300" w:lineRule="auto"/>
        <w:jc w:val="left"/>
        <w:rPr>
          <w:rFonts w:hint="eastAsia"/>
          <w:color w:val="auto"/>
        </w:rPr>
      </w:pP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lang w:val="en-US" w:eastAsia="zh-CN"/>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五、其他内容</w:t>
      </w:r>
    </w:p>
    <w:p>
      <w:pPr>
        <w:pStyle w:val="7"/>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cs="宋体"/>
          <w:b/>
          <w:color w:val="auto"/>
          <w:sz w:val="24"/>
          <w:szCs w:val="24"/>
        </w:rPr>
        <w:t>、承诺函</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7"/>
        <w:rPr>
          <w:rFonts w:hint="eastAsia"/>
        </w:rPr>
      </w:pPr>
    </w:p>
    <w:p>
      <w:pPr>
        <w:pStyle w:val="7"/>
        <w:spacing w:line="360" w:lineRule="auto"/>
        <w:ind w:firstLine="420" w:firstLineChars="200"/>
        <w:rPr>
          <w:rFonts w:hint="eastAsia" w:ascii="宋体" w:hAnsi="宋体" w:cs="宋体"/>
          <w:color w:val="auto"/>
          <w:sz w:val="21"/>
          <w:szCs w:val="21"/>
        </w:rPr>
      </w:pPr>
    </w:p>
    <w:p>
      <w:pPr>
        <w:pStyle w:val="7"/>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7"/>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7"/>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7"/>
        <w:rPr>
          <w:rFonts w:hint="eastAsia"/>
        </w:rPr>
      </w:pPr>
    </w:p>
    <w:p>
      <w:pPr>
        <w:pStyle w:val="7"/>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rPr>
        <w:rFonts w:hint="eastAsia"/>
      </w:rPr>
    </w:lvl>
  </w:abstractNum>
  <w:abstractNum w:abstractNumId="2">
    <w:nsid w:val="277CBAE6"/>
    <w:multiLevelType w:val="singleLevel"/>
    <w:tmpl w:val="277CBAE6"/>
    <w:lvl w:ilvl="0" w:tentative="0">
      <w:start w:val="2"/>
      <w:numFmt w:val="chineseCounting"/>
      <w:suff w:val="nothing"/>
      <w:lvlText w:val="%1、"/>
      <w:lvlJc w:val="left"/>
      <w:rPr>
        <w:rFonts w:hint="eastAsia"/>
      </w:rPr>
    </w:lvl>
  </w:abstractNum>
  <w:abstractNum w:abstractNumId="3">
    <w:nsid w:val="73931523"/>
    <w:multiLevelType w:val="multilevel"/>
    <w:tmpl w:val="73931523"/>
    <w:lvl w:ilvl="0" w:tentative="0">
      <w:start w:val="1"/>
      <w:numFmt w:val="decimal"/>
      <w:lvlText w:val="%1."/>
      <w:lvlJc w:val="left"/>
      <w:pPr>
        <w:ind w:left="233" w:hanging="243"/>
      </w:pPr>
      <w:rPr>
        <w:rFonts w:hint="default" w:ascii="楷体" w:hAnsi="楷体" w:eastAsia="楷体" w:cs="楷体"/>
        <w:w w:val="100"/>
        <w:sz w:val="22"/>
        <w:szCs w:val="22"/>
        <w:lang w:val="zh-CN" w:eastAsia="zh-CN" w:bidi="zh-CN"/>
      </w:rPr>
    </w:lvl>
    <w:lvl w:ilvl="1" w:tentative="0">
      <w:start w:val="0"/>
      <w:numFmt w:val="bullet"/>
      <w:lvlText w:val="•"/>
      <w:lvlJc w:val="left"/>
      <w:pPr>
        <w:ind w:left="1158" w:hanging="243"/>
      </w:pPr>
      <w:rPr>
        <w:rFonts w:hint="default"/>
        <w:lang w:val="zh-CN" w:eastAsia="zh-CN" w:bidi="zh-CN"/>
      </w:rPr>
    </w:lvl>
    <w:lvl w:ilvl="2" w:tentative="0">
      <w:start w:val="0"/>
      <w:numFmt w:val="bullet"/>
      <w:lvlText w:val="•"/>
      <w:lvlJc w:val="left"/>
      <w:pPr>
        <w:ind w:left="2077" w:hanging="243"/>
      </w:pPr>
      <w:rPr>
        <w:rFonts w:hint="default"/>
        <w:lang w:val="zh-CN" w:eastAsia="zh-CN" w:bidi="zh-CN"/>
      </w:rPr>
    </w:lvl>
    <w:lvl w:ilvl="3" w:tentative="0">
      <w:start w:val="0"/>
      <w:numFmt w:val="bullet"/>
      <w:lvlText w:val="•"/>
      <w:lvlJc w:val="left"/>
      <w:pPr>
        <w:ind w:left="2996" w:hanging="243"/>
      </w:pPr>
      <w:rPr>
        <w:rFonts w:hint="default"/>
        <w:lang w:val="zh-CN" w:eastAsia="zh-CN" w:bidi="zh-CN"/>
      </w:rPr>
    </w:lvl>
    <w:lvl w:ilvl="4" w:tentative="0">
      <w:start w:val="0"/>
      <w:numFmt w:val="bullet"/>
      <w:lvlText w:val="•"/>
      <w:lvlJc w:val="left"/>
      <w:pPr>
        <w:ind w:left="3914" w:hanging="243"/>
      </w:pPr>
      <w:rPr>
        <w:rFonts w:hint="default"/>
        <w:lang w:val="zh-CN" w:eastAsia="zh-CN" w:bidi="zh-CN"/>
      </w:rPr>
    </w:lvl>
    <w:lvl w:ilvl="5" w:tentative="0">
      <w:start w:val="0"/>
      <w:numFmt w:val="bullet"/>
      <w:lvlText w:val="•"/>
      <w:lvlJc w:val="left"/>
      <w:pPr>
        <w:ind w:left="4833" w:hanging="243"/>
      </w:pPr>
      <w:rPr>
        <w:rFonts w:hint="default"/>
        <w:lang w:val="zh-CN" w:eastAsia="zh-CN" w:bidi="zh-CN"/>
      </w:rPr>
    </w:lvl>
    <w:lvl w:ilvl="6" w:tentative="0">
      <w:start w:val="0"/>
      <w:numFmt w:val="bullet"/>
      <w:lvlText w:val="•"/>
      <w:lvlJc w:val="left"/>
      <w:pPr>
        <w:ind w:left="5752" w:hanging="243"/>
      </w:pPr>
      <w:rPr>
        <w:rFonts w:hint="default"/>
        <w:lang w:val="zh-CN" w:eastAsia="zh-CN" w:bidi="zh-CN"/>
      </w:rPr>
    </w:lvl>
    <w:lvl w:ilvl="7" w:tentative="0">
      <w:start w:val="0"/>
      <w:numFmt w:val="bullet"/>
      <w:lvlText w:val="•"/>
      <w:lvlJc w:val="left"/>
      <w:pPr>
        <w:ind w:left="6670" w:hanging="243"/>
      </w:pPr>
      <w:rPr>
        <w:rFonts w:hint="default"/>
        <w:lang w:val="zh-CN" w:eastAsia="zh-CN" w:bidi="zh-CN"/>
      </w:rPr>
    </w:lvl>
    <w:lvl w:ilvl="8" w:tentative="0">
      <w:start w:val="0"/>
      <w:numFmt w:val="bullet"/>
      <w:lvlText w:val="•"/>
      <w:lvlJc w:val="left"/>
      <w:pPr>
        <w:ind w:left="7589" w:hanging="243"/>
      </w:pPr>
      <w:rPr>
        <w:rFonts w:hint="default"/>
        <w:lang w:val="zh-CN" w:eastAsia="zh-CN" w:bidi="zh-C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2JhZDVmMWQ3NTE0ODBmNjY2ZWJkZTk3ZWY4NjA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7A0DEA"/>
    <w:rsid w:val="03A409A3"/>
    <w:rsid w:val="03FE50A8"/>
    <w:rsid w:val="04B70A5B"/>
    <w:rsid w:val="04E65B23"/>
    <w:rsid w:val="059C335A"/>
    <w:rsid w:val="06952959"/>
    <w:rsid w:val="06985201"/>
    <w:rsid w:val="094916C9"/>
    <w:rsid w:val="09D07158"/>
    <w:rsid w:val="0A4C1970"/>
    <w:rsid w:val="0B0D487A"/>
    <w:rsid w:val="0DD2765F"/>
    <w:rsid w:val="0DDA5F42"/>
    <w:rsid w:val="0FA35E5A"/>
    <w:rsid w:val="0FE93165"/>
    <w:rsid w:val="13F671BD"/>
    <w:rsid w:val="153E58EA"/>
    <w:rsid w:val="16592F27"/>
    <w:rsid w:val="16E87FEC"/>
    <w:rsid w:val="176E0DFF"/>
    <w:rsid w:val="17FE6356"/>
    <w:rsid w:val="180139E8"/>
    <w:rsid w:val="1907628E"/>
    <w:rsid w:val="193C2B6F"/>
    <w:rsid w:val="1AC758F5"/>
    <w:rsid w:val="1B437A34"/>
    <w:rsid w:val="1B6A4D9A"/>
    <w:rsid w:val="1C133D9F"/>
    <w:rsid w:val="1C3C4525"/>
    <w:rsid w:val="1CD47E00"/>
    <w:rsid w:val="1D473411"/>
    <w:rsid w:val="1E7147B5"/>
    <w:rsid w:val="1ED05E5F"/>
    <w:rsid w:val="1FB3664B"/>
    <w:rsid w:val="20723182"/>
    <w:rsid w:val="20B1463B"/>
    <w:rsid w:val="20F66FEC"/>
    <w:rsid w:val="2181344C"/>
    <w:rsid w:val="222F1A1F"/>
    <w:rsid w:val="22F6796A"/>
    <w:rsid w:val="24F92A2C"/>
    <w:rsid w:val="25180487"/>
    <w:rsid w:val="27E334E4"/>
    <w:rsid w:val="2A166596"/>
    <w:rsid w:val="2E2508DD"/>
    <w:rsid w:val="30DF09C4"/>
    <w:rsid w:val="315129B8"/>
    <w:rsid w:val="31792031"/>
    <w:rsid w:val="330D43D7"/>
    <w:rsid w:val="33810EEB"/>
    <w:rsid w:val="35221A85"/>
    <w:rsid w:val="35F04E8D"/>
    <w:rsid w:val="38FA2D16"/>
    <w:rsid w:val="392431AB"/>
    <w:rsid w:val="39874E3F"/>
    <w:rsid w:val="3B6D3E63"/>
    <w:rsid w:val="3BB053C8"/>
    <w:rsid w:val="3C75188F"/>
    <w:rsid w:val="3CAD07EE"/>
    <w:rsid w:val="3CFE4AEE"/>
    <w:rsid w:val="3D086084"/>
    <w:rsid w:val="3D1244A5"/>
    <w:rsid w:val="3DA91236"/>
    <w:rsid w:val="3E321216"/>
    <w:rsid w:val="3EEA75C0"/>
    <w:rsid w:val="3F4E4D93"/>
    <w:rsid w:val="40642695"/>
    <w:rsid w:val="40831CAD"/>
    <w:rsid w:val="43A22D23"/>
    <w:rsid w:val="44466837"/>
    <w:rsid w:val="468B17B6"/>
    <w:rsid w:val="47043556"/>
    <w:rsid w:val="48B87BF5"/>
    <w:rsid w:val="48B972F3"/>
    <w:rsid w:val="4A6A6325"/>
    <w:rsid w:val="4C405D8D"/>
    <w:rsid w:val="4C570EAE"/>
    <w:rsid w:val="4C8D1B15"/>
    <w:rsid w:val="4CCD7A4E"/>
    <w:rsid w:val="4CF8129A"/>
    <w:rsid w:val="4F9E7724"/>
    <w:rsid w:val="4FB63413"/>
    <w:rsid w:val="514364B2"/>
    <w:rsid w:val="524F3D6B"/>
    <w:rsid w:val="526813EF"/>
    <w:rsid w:val="529B69C6"/>
    <w:rsid w:val="54625F54"/>
    <w:rsid w:val="550F2287"/>
    <w:rsid w:val="5699471C"/>
    <w:rsid w:val="57217F7A"/>
    <w:rsid w:val="57556FB3"/>
    <w:rsid w:val="577D3BBA"/>
    <w:rsid w:val="586A0CB6"/>
    <w:rsid w:val="5A606D0E"/>
    <w:rsid w:val="5ADC30C6"/>
    <w:rsid w:val="5CF525C4"/>
    <w:rsid w:val="5E954A0B"/>
    <w:rsid w:val="5EBB7FE7"/>
    <w:rsid w:val="5F105600"/>
    <w:rsid w:val="62D66B54"/>
    <w:rsid w:val="65ED6CD8"/>
    <w:rsid w:val="6C114B33"/>
    <w:rsid w:val="6D815849"/>
    <w:rsid w:val="6E6239F1"/>
    <w:rsid w:val="70F4419F"/>
    <w:rsid w:val="71F46C51"/>
    <w:rsid w:val="76B626AB"/>
    <w:rsid w:val="77175742"/>
    <w:rsid w:val="77D70DE3"/>
    <w:rsid w:val="78794AA1"/>
    <w:rsid w:val="78BB60F7"/>
    <w:rsid w:val="79993162"/>
    <w:rsid w:val="7B1544B5"/>
    <w:rsid w:val="7B4246DD"/>
    <w:rsid w:val="7C8076E9"/>
    <w:rsid w:val="7DBF1F3F"/>
    <w:rsid w:val="7DEC7AFF"/>
    <w:rsid w:val="7EB9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2"/>
    <w:qFormat/>
    <w:uiPriority w:val="0"/>
    <w:pPr>
      <w:spacing w:after="120"/>
    </w:pPr>
  </w:style>
  <w:style w:type="paragraph" w:styleId="7">
    <w:name w:val="Normal Indent"/>
    <w:basedOn w:val="1"/>
    <w:qFormat/>
    <w:uiPriority w:val="0"/>
    <w:pPr>
      <w:ind w:firstLine="420"/>
    </w:pPr>
    <w:rPr>
      <w:rFonts w:eastAsia="宋体"/>
    </w:rPr>
  </w:style>
  <w:style w:type="paragraph" w:styleId="8">
    <w:name w:val="annotation text"/>
    <w:basedOn w:val="1"/>
    <w:link w:val="27"/>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6"/>
    <w:qFormat/>
    <w:uiPriority w:val="0"/>
    <w:rPr>
      <w:sz w:val="18"/>
      <w:szCs w:val="18"/>
    </w:rPr>
  </w:style>
  <w:style w:type="paragraph" w:styleId="12">
    <w:name w:val="footer"/>
    <w:basedOn w:val="1"/>
    <w:next w:val="1"/>
    <w:link w:val="29"/>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basedOn w:val="1"/>
    <w:next w:val="1"/>
    <w:qFormat/>
    <w:uiPriority w:val="0"/>
    <w:pPr>
      <w:spacing w:before="240" w:after="60"/>
      <w:jc w:val="center"/>
      <w:outlineLvl w:val="0"/>
    </w:pPr>
    <w:rPr>
      <w:rFonts w:ascii="Cambria" w:hAnsi="Cambria" w:cs="Times New Roman"/>
      <w:b/>
      <w:bCs/>
      <w:sz w:val="32"/>
      <w:szCs w:val="32"/>
    </w:rPr>
  </w:style>
  <w:style w:type="paragraph" w:styleId="17">
    <w:name w:val="annotation subject"/>
    <w:basedOn w:val="8"/>
    <w:next w:val="8"/>
    <w:link w:val="28"/>
    <w:semiHidden/>
    <w:unhideWhenUsed/>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99"/>
    <w:rPr>
      <w:color w:val="0000FF"/>
      <w:u w:val="single"/>
    </w:rPr>
  </w:style>
  <w:style w:type="character" w:styleId="22">
    <w:name w:val="annotation reference"/>
    <w:basedOn w:val="20"/>
    <w:qFormat/>
    <w:uiPriority w:val="0"/>
    <w:rPr>
      <w:sz w:val="21"/>
      <w:szCs w:val="21"/>
    </w:rPr>
  </w:style>
  <w:style w:type="paragraph" w:styleId="23">
    <w:name w:val="Quote"/>
    <w:basedOn w:val="1"/>
    <w:next w:val="1"/>
    <w:qFormat/>
    <w:uiPriority w:val="99"/>
    <w:rPr>
      <w:rFonts w:ascii="Calibri" w:hAnsi="Calibri" w:cs="Calibri"/>
      <w:i/>
      <w:iCs/>
      <w:color w:val="000000"/>
      <w:sz w:val="22"/>
      <w:szCs w:val="22"/>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6">
    <w:name w:val="批注框文本 字符"/>
    <w:basedOn w:val="20"/>
    <w:link w:val="11"/>
    <w:qFormat/>
    <w:uiPriority w:val="0"/>
    <w:rPr>
      <w:rFonts w:asciiTheme="minorHAnsi" w:hAnsiTheme="minorHAnsi" w:eastAsiaTheme="minorEastAsia" w:cstheme="minorBidi"/>
      <w:kern w:val="2"/>
      <w:sz w:val="18"/>
      <w:szCs w:val="18"/>
    </w:rPr>
  </w:style>
  <w:style w:type="character" w:customStyle="1" w:styleId="27">
    <w:name w:val="批注文字 字符"/>
    <w:basedOn w:val="20"/>
    <w:link w:val="8"/>
    <w:qFormat/>
    <w:uiPriority w:val="0"/>
    <w:rPr>
      <w:rFonts w:asciiTheme="minorHAnsi" w:hAnsiTheme="minorHAnsi" w:eastAsiaTheme="minorEastAsia" w:cstheme="minorBidi"/>
      <w:kern w:val="2"/>
      <w:sz w:val="21"/>
      <w:szCs w:val="22"/>
    </w:rPr>
  </w:style>
  <w:style w:type="character" w:customStyle="1" w:styleId="28">
    <w:name w:val="批注主题 字符"/>
    <w:basedOn w:val="27"/>
    <w:link w:val="17"/>
    <w:semiHidden/>
    <w:qFormat/>
    <w:uiPriority w:val="0"/>
    <w:rPr>
      <w:rFonts w:asciiTheme="minorHAnsi" w:hAnsiTheme="minorHAnsi" w:eastAsiaTheme="minorEastAsia" w:cstheme="minorBidi"/>
      <w:b/>
      <w:bCs/>
      <w:kern w:val="2"/>
      <w:sz w:val="21"/>
      <w:szCs w:val="22"/>
    </w:rPr>
  </w:style>
  <w:style w:type="character" w:customStyle="1" w:styleId="29">
    <w:name w:val="页脚 字符"/>
    <w:basedOn w:val="20"/>
    <w:link w:val="12"/>
    <w:qFormat/>
    <w:uiPriority w:val="99"/>
    <w:rPr>
      <w:rFonts w:asciiTheme="minorHAnsi" w:hAnsiTheme="minorHAnsi" w:eastAsiaTheme="minorEastAsia" w:cstheme="minorBidi"/>
      <w:kern w:val="2"/>
      <w:sz w:val="18"/>
    </w:rPr>
  </w:style>
  <w:style w:type="paragraph" w:customStyle="1" w:styleId="30">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1">
    <w:name w:val="网格型1"/>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2">
    <w:name w:val="List Paragraph"/>
    <w:basedOn w:val="1"/>
    <w:qFormat/>
    <w:uiPriority w:val="99"/>
    <w:pPr>
      <w:ind w:firstLine="420" w:firstLineChars="200"/>
    </w:p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character" w:customStyle="1" w:styleId="34">
    <w:name w:val="标题 1 Char"/>
    <w:link w:val="4"/>
    <w:qFormat/>
    <w:uiPriority w:val="0"/>
    <w:rPr>
      <w:b/>
      <w:bCs/>
      <w:kern w:val="44"/>
      <w:sz w:val="44"/>
      <w:szCs w:val="44"/>
    </w:rPr>
  </w:style>
  <w:style w:type="character" w:customStyle="1" w:styleId="35">
    <w:name w:val="font21"/>
    <w:basedOn w:val="20"/>
    <w:qFormat/>
    <w:uiPriority w:val="0"/>
    <w:rPr>
      <w:rFonts w:hint="eastAsia" w:ascii="微软雅黑" w:hAnsi="微软雅黑" w:eastAsia="微软雅黑" w:cs="微软雅黑"/>
      <w:color w:val="000000"/>
      <w:sz w:val="20"/>
      <w:szCs w:val="20"/>
      <w:u w:val="none"/>
    </w:rPr>
  </w:style>
  <w:style w:type="character" w:customStyle="1" w:styleId="36">
    <w:name w:val="font41"/>
    <w:basedOn w:val="20"/>
    <w:qFormat/>
    <w:uiPriority w:val="0"/>
    <w:rPr>
      <w:rFonts w:ascii="Tahoma" w:hAnsi="Tahoma" w:eastAsia="Tahoma" w:cs="Tahoma"/>
      <w:color w:val="000000"/>
      <w:sz w:val="20"/>
      <w:szCs w:val="20"/>
      <w:u w:val="none"/>
    </w:rPr>
  </w:style>
  <w:style w:type="character" w:customStyle="1" w:styleId="37">
    <w:name w:val="font31"/>
    <w:basedOn w:val="20"/>
    <w:qFormat/>
    <w:uiPriority w:val="0"/>
    <w:rPr>
      <w:rFonts w:hint="eastAsia" w:ascii="宋体" w:hAnsi="宋体" w:eastAsia="宋体" w:cs="宋体"/>
      <w:color w:val="000000"/>
      <w:sz w:val="20"/>
      <w:szCs w:val="20"/>
      <w:u w:val="none"/>
    </w:rPr>
  </w:style>
  <w:style w:type="character" w:customStyle="1" w:styleId="38">
    <w:name w:val="font61"/>
    <w:qFormat/>
    <w:uiPriority w:val="0"/>
    <w:rPr>
      <w:rFonts w:hint="default" w:ascii="Times New Roman" w:hAnsi="Times New Roman" w:cs="Times New Roman"/>
      <w:b/>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27</Pages>
  <Words>8716</Words>
  <Characters>9195</Characters>
  <Lines>1</Lines>
  <Paragraphs>1</Paragraphs>
  <TotalTime>6</TotalTime>
  <ScaleCrop>false</ScaleCrop>
  <LinksUpToDate>false</LinksUpToDate>
  <CharactersWithSpaces>10054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赵媛媛</cp:lastModifiedBy>
  <cp:lastPrinted>2022-10-09T09:49:00Z</cp:lastPrinted>
  <dcterms:modified xsi:type="dcterms:W3CDTF">2023-08-04T01:26:04Z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0A83C8141F7D47449112E31018631CE6_13</vt:lpwstr>
  </property>
</Properties>
</file>