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XJ-2023-14</w:t>
      </w:r>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合江县甘竹路（甘雨至石龙段）</w:t>
      </w: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改建工程</w:t>
      </w:r>
      <w:r>
        <w:rPr>
          <w:rFonts w:hint="eastAsia" w:ascii="Times New Roman" w:hAnsi="Times New Roman" w:eastAsia="仿宋" w:cs="Times New Roman"/>
          <w:b/>
          <w:color w:val="auto"/>
          <w:sz w:val="44"/>
          <w:szCs w:val="44"/>
          <w:lang w:val="en-US" w:eastAsia="zh-CN"/>
        </w:rPr>
        <w:t>建筑工程</w:t>
      </w:r>
      <w:r>
        <w:rPr>
          <w:rFonts w:hint="default" w:ascii="Times New Roman" w:hAnsi="Times New Roman" w:eastAsia="仿宋" w:cs="Times New Roman"/>
          <w:b/>
          <w:color w:val="auto"/>
          <w:sz w:val="44"/>
          <w:szCs w:val="44"/>
        </w:rPr>
        <w:t>一切险</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8"/>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spacing w:line="360" w:lineRule="auto"/>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采购人：</w:t>
      </w:r>
      <w:bookmarkStart w:id="1" w:name="_Hlk144670896"/>
      <w:r>
        <w:rPr>
          <w:rFonts w:hint="default" w:ascii="Times New Roman" w:hAnsi="Times New Roman" w:eastAsia="仿宋" w:cs="Times New Roman"/>
          <w:b/>
          <w:color w:val="auto"/>
          <w:sz w:val="44"/>
          <w:szCs w:val="44"/>
        </w:rPr>
        <w:t>四川</w:t>
      </w:r>
      <w:r>
        <w:rPr>
          <w:rFonts w:hint="eastAsia" w:ascii="Times New Roman" w:hAnsi="Times New Roman" w:eastAsia="仿宋" w:cs="Times New Roman"/>
          <w:b/>
          <w:color w:val="auto"/>
          <w:sz w:val="44"/>
          <w:szCs w:val="44"/>
          <w:lang w:val="en-US" w:eastAsia="zh-CN"/>
        </w:rPr>
        <w:t>广源达建设工程</w:t>
      </w:r>
      <w:r>
        <w:rPr>
          <w:rFonts w:hint="default" w:ascii="Times New Roman" w:hAnsi="Times New Roman" w:eastAsia="仿宋" w:cs="Times New Roman"/>
          <w:b/>
          <w:color w:val="auto"/>
          <w:sz w:val="44"/>
          <w:szCs w:val="44"/>
        </w:rPr>
        <w:t>有限公司</w:t>
      </w:r>
      <w:bookmarkEnd w:id="1"/>
    </w:p>
    <w:p>
      <w:pPr>
        <w:jc w:val="center"/>
        <w:rPr>
          <w:rFonts w:hint="default" w:ascii="Times New Roman" w:hAnsi="Times New Roman" w:eastAsia="仿宋" w:cs="Times New Roman"/>
          <w:b/>
          <w:bCs/>
          <w:color w:val="auto"/>
          <w:sz w:val="44"/>
          <w:szCs w:val="44"/>
          <w:lang w:val="zh-CN"/>
        </w:rPr>
      </w:pPr>
      <w:r>
        <w:rPr>
          <w:rFonts w:hint="default" w:ascii="Times New Roman" w:hAnsi="Times New Roman" w:eastAsia="仿宋" w:cs="Times New Roman"/>
          <w:b/>
          <w:color w:val="auto"/>
          <w:sz w:val="44"/>
          <w:szCs w:val="44"/>
        </w:rPr>
        <w:t>2023</w:t>
      </w:r>
      <w:r>
        <w:rPr>
          <w:rFonts w:hint="default" w:ascii="Times New Roman" w:hAnsi="Times New Roman" w:eastAsia="仿宋" w:cs="Times New Roman"/>
          <w:b/>
          <w:bCs/>
          <w:color w:val="auto"/>
          <w:sz w:val="44"/>
          <w:szCs w:val="44"/>
          <w:lang w:val="zh-CN"/>
        </w:rPr>
        <w:t>年</w:t>
      </w:r>
      <w:r>
        <w:rPr>
          <w:rFonts w:hint="eastAsia" w:ascii="Times New Roman" w:hAnsi="Times New Roman" w:eastAsia="仿宋" w:cs="Times New Roman"/>
          <w:b/>
          <w:bCs/>
          <w:color w:val="auto"/>
          <w:sz w:val="44"/>
          <w:szCs w:val="44"/>
          <w:lang w:val="en-US" w:eastAsia="zh-CN"/>
        </w:rPr>
        <w:t>12</w:t>
      </w:r>
      <w:r>
        <w:rPr>
          <w:rFonts w:hint="default" w:ascii="Times New Roman" w:hAnsi="Times New Roman" w:eastAsia="仿宋" w:cs="Times New Roman"/>
          <w:b/>
          <w:bCs/>
          <w:color w:val="auto"/>
          <w:sz w:val="44"/>
          <w:szCs w:val="44"/>
          <w:lang w:val="zh-CN"/>
        </w:rPr>
        <w:t>月</w:t>
      </w:r>
    </w:p>
    <w:p>
      <w:pPr>
        <w:jc w:val="center"/>
        <w:rPr>
          <w:rFonts w:hint="default" w:ascii="Times New Roman" w:hAnsi="Times New Roman" w:eastAsia="仿宋" w:cs="Times New Roman"/>
          <w:b/>
          <w:bCs/>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8</w:t>
          </w:r>
        </w:p>
        <w:p>
          <w:pPr>
            <w:spacing w:line="360" w:lineRule="auto"/>
            <w:jc w:val="left"/>
            <w:rPr>
              <w:rFonts w:hint="eastAsia" w:ascii="Times New Roman" w:hAnsi="Times New Roman" w:eastAsia="仿宋" w:cs="Times New Roman"/>
              <w:b/>
              <w:bCs/>
              <w:caps/>
              <w:color w:val="auto"/>
              <w:sz w:val="24"/>
              <w:szCs w:val="24"/>
              <w:lang w:eastAsia="zh-CN"/>
            </w:rPr>
          </w:pPr>
          <w:r>
            <w:rPr>
              <w:rFonts w:hint="default" w:ascii="Times New Roman" w:hAnsi="Times New Roman" w:eastAsia="仿宋" w:cs="Times New Roman"/>
              <w:b/>
              <w:bCs/>
              <w:caps/>
              <w:color w:val="auto"/>
              <w:sz w:val="24"/>
              <w:szCs w:val="24"/>
            </w:rPr>
            <w:t>第</w:t>
          </w:r>
          <w:r>
            <w:rPr>
              <w:rFonts w:hint="eastAsia" w:ascii="Times New Roman" w:hAnsi="Times New Roman" w:eastAsia="仿宋" w:cs="Times New Roman"/>
              <w:b/>
              <w:bCs/>
              <w:caps/>
              <w:color w:val="auto"/>
              <w:sz w:val="24"/>
              <w:szCs w:val="24"/>
              <w:lang w:val="en-US" w:eastAsia="zh-CN"/>
            </w:rPr>
            <w:t>四</w:t>
          </w:r>
          <w:r>
            <w:rPr>
              <w:rFonts w:hint="default" w:ascii="Times New Roman" w:hAnsi="Times New Roman" w:eastAsia="仿宋" w:cs="Times New Roman"/>
              <w:b/>
              <w:bCs/>
              <w:caps/>
              <w:color w:val="auto"/>
              <w:sz w:val="24"/>
              <w:szCs w:val="24"/>
            </w:rPr>
            <w:t>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9</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2"/>
        <w:jc w:val="both"/>
        <w:rPr>
          <w:rFonts w:hint="default" w:ascii="Times New Roman" w:hAnsi="Times New Roman" w:eastAsia="仿宋" w:cs="Times New Roman"/>
          <w:color w:val="auto"/>
          <w:sz w:val="32"/>
          <w:szCs w:val="32"/>
        </w:rPr>
      </w:pPr>
      <w:bookmarkStart w:id="2" w:name="_Hlt101843627"/>
      <w:bookmarkEnd w:id="2"/>
      <w:bookmarkStart w:id="3" w:name="_Hlt10123373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 xml:space="preserve">    </w:t>
      </w:r>
      <w:r>
        <w:rPr>
          <w:rFonts w:hint="default" w:ascii="Times New Roman" w:hAnsi="Times New Roman" w:eastAsia="仿宋" w:cs="Times New Roman"/>
          <w:color w:val="auto"/>
          <w:szCs w:val="21"/>
          <w:u w:val="single"/>
        </w:rPr>
        <w:t>四川</w:t>
      </w:r>
      <w:r>
        <w:rPr>
          <w:rFonts w:hint="eastAsia" w:ascii="Times New Roman" w:hAnsi="Times New Roman" w:eastAsia="仿宋" w:cs="Times New Roman"/>
          <w:color w:val="auto"/>
          <w:szCs w:val="21"/>
          <w:u w:val="single"/>
          <w:lang w:val="en-US" w:eastAsia="zh-CN"/>
        </w:rPr>
        <w:t>广源达</w:t>
      </w:r>
      <w:r>
        <w:rPr>
          <w:rFonts w:hint="default" w:ascii="Times New Roman" w:hAnsi="Times New Roman" w:eastAsia="仿宋" w:cs="Times New Roman"/>
          <w:color w:val="auto"/>
          <w:szCs w:val="21"/>
          <w:u w:val="single"/>
        </w:rPr>
        <w:t>建设工程有限公司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合江县甘竹路（甘雨至石龙段）改建工程</w:t>
      </w:r>
      <w:r>
        <w:rPr>
          <w:rFonts w:hint="eastAsia" w:ascii="Times New Roman" w:hAnsi="Times New Roman" w:eastAsia="仿宋" w:cs="Times New Roman"/>
          <w:color w:val="auto"/>
          <w:szCs w:val="21"/>
          <w:u w:val="single"/>
          <w:lang w:val="en-US" w:eastAsia="zh-CN"/>
        </w:rPr>
        <w:t>建筑工程</w:t>
      </w:r>
      <w:r>
        <w:rPr>
          <w:rFonts w:hint="default" w:ascii="Times New Roman" w:hAnsi="Times New Roman" w:eastAsia="仿宋" w:cs="Times New Roman"/>
          <w:color w:val="auto"/>
          <w:szCs w:val="21"/>
          <w:u w:val="single"/>
        </w:rPr>
        <w:t>一切险</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合江县甘竹路（甘雨至石龙段）改建工程</w:t>
      </w:r>
      <w:r>
        <w:rPr>
          <w:rFonts w:hint="eastAsia" w:ascii="Times New Roman" w:hAnsi="Times New Roman" w:eastAsia="仿宋" w:cs="Times New Roman"/>
          <w:color w:val="auto"/>
          <w:szCs w:val="21"/>
          <w:u w:val="single"/>
          <w:lang w:val="en-US" w:eastAsia="zh-CN"/>
        </w:rPr>
        <w:t>建筑工程</w:t>
      </w:r>
      <w:r>
        <w:rPr>
          <w:rFonts w:hint="default" w:ascii="Times New Roman" w:hAnsi="Times New Roman" w:eastAsia="仿宋" w:cs="Times New Roman"/>
          <w:color w:val="auto"/>
          <w:szCs w:val="21"/>
          <w:u w:val="single"/>
        </w:rPr>
        <w:t>一切险</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152000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四、询价响应文件递交截止时间及递交地点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2023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12</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29</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16</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四川</w:t>
      </w:r>
      <w:r>
        <w:rPr>
          <w:rFonts w:hint="eastAsia" w:ascii="Times New Roman" w:hAnsi="Times New Roman" w:eastAsia="仿宋" w:cs="Times New Roman"/>
          <w:b/>
          <w:color w:val="auto"/>
          <w:kern w:val="0"/>
          <w:szCs w:val="21"/>
          <w:lang w:val="en-US" w:eastAsia="zh-CN" w:bidi="ar"/>
        </w:rPr>
        <w:t>广源达</w:t>
      </w:r>
      <w:r>
        <w:rPr>
          <w:rFonts w:hint="default" w:ascii="Times New Roman" w:hAnsi="Times New Roman" w:eastAsia="仿宋" w:cs="Times New Roman"/>
          <w:b/>
          <w:color w:val="auto"/>
          <w:kern w:val="0"/>
          <w:szCs w:val="21"/>
          <w:lang w:bidi="ar"/>
        </w:rPr>
        <w:t xml:space="preserve">建设工程有限公司 </w:t>
      </w: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合江县符阳街道红荔街55号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陈</w:t>
      </w:r>
      <w:r>
        <w:rPr>
          <w:rFonts w:hint="default" w:ascii="Times New Roman" w:hAnsi="Times New Roman" w:eastAsia="仿宋" w:cs="Times New Roman"/>
          <w:color w:val="auto"/>
          <w:kern w:val="0"/>
          <w:szCs w:val="21"/>
          <w:lang w:bidi="ar"/>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 xml:space="preserve"> 0830-5100708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2023年</w:t>
      </w:r>
      <w:r>
        <w:rPr>
          <w:rFonts w:hint="eastAsia" w:ascii="Times New Roman" w:hAnsi="Times New Roman" w:eastAsia="仿宋" w:cs="Times New Roman"/>
          <w:color w:val="auto"/>
          <w:kern w:val="0"/>
          <w:szCs w:val="21"/>
          <w:lang w:val="en-US" w:eastAsia="zh-CN" w:bidi="ar"/>
        </w:rPr>
        <w:t>12</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26</w:t>
      </w:r>
      <w:r>
        <w:rPr>
          <w:rFonts w:hint="default" w:ascii="Times New Roman" w:hAnsi="Times New Roman" w:eastAsia="仿宋" w:cs="Times New Roman"/>
          <w:color w:val="auto"/>
          <w:kern w:val="0"/>
          <w:szCs w:val="21"/>
          <w:lang w:bidi="ar"/>
        </w:rPr>
        <w:t>日</w:t>
      </w: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396945"/>
      <w:bookmarkStart w:id="8" w:name="_Toc217446031"/>
      <w:bookmarkStart w:id="9" w:name="_Toc213496267"/>
      <w:bookmarkStart w:id="10" w:name="_Toc213396759"/>
      <w:bookmarkStart w:id="11" w:name="_Toc213397009"/>
    </w:p>
    <w:p>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12414"/>
      <w:bookmarkStart w:id="13" w:name="_Toc26975439"/>
      <w:bookmarkStart w:id="14" w:name="_Toc5869721"/>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8"/>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名称：四川</w:t>
            </w:r>
            <w:r>
              <w:rPr>
                <w:rFonts w:hint="eastAsia" w:ascii="Times New Roman" w:hAnsi="Times New Roman" w:eastAsia="仿宋" w:cs="Times New Roman"/>
                <w:color w:val="auto"/>
                <w:szCs w:val="21"/>
                <w:lang w:val="en-US" w:eastAsia="zh-CN"/>
              </w:rPr>
              <w:t>广源达</w:t>
            </w:r>
            <w:r>
              <w:rPr>
                <w:rFonts w:hint="default" w:ascii="Times New Roman" w:hAnsi="Times New Roman" w:eastAsia="仿宋" w:cs="Times New Roman"/>
                <w:color w:val="auto"/>
                <w:szCs w:val="21"/>
              </w:rPr>
              <w:t>建设工程有限公司  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合江县甘竹路（甘雨至石龙段）改建</w:t>
            </w:r>
            <w:r>
              <w:rPr>
                <w:rFonts w:hint="default" w:ascii="Times New Roman" w:hAnsi="Times New Roman" w:eastAsia="仿宋" w:cs="Times New Roman"/>
                <w:color w:val="auto"/>
                <w:szCs w:val="21"/>
                <w:lang w:val="en-US" w:eastAsia="zh-CN"/>
              </w:rPr>
              <w:t>工程</w:t>
            </w:r>
            <w:r>
              <w:rPr>
                <w:rFonts w:hint="eastAsia" w:ascii="Times New Roman" w:hAnsi="Times New Roman" w:eastAsia="仿宋" w:cs="Times New Roman"/>
                <w:color w:val="auto"/>
                <w:szCs w:val="21"/>
                <w:lang w:val="en-US" w:eastAsia="zh-CN"/>
              </w:rPr>
              <w:t>建筑工程</w:t>
            </w:r>
            <w:r>
              <w:rPr>
                <w:rFonts w:hint="default" w:ascii="Times New Roman" w:hAnsi="Times New Roman" w:eastAsia="仿宋" w:cs="Times New Roman"/>
                <w:color w:val="auto"/>
                <w:szCs w:val="21"/>
                <w:lang w:val="en-US" w:eastAsia="zh-CN"/>
              </w:rPr>
              <w:t>一</w:t>
            </w:r>
            <w:r>
              <w:rPr>
                <w:rFonts w:hint="default" w:ascii="Times New Roman" w:hAnsi="Times New Roman" w:eastAsia="仿宋" w:cs="Times New Roman"/>
                <w:color w:val="auto"/>
                <w:szCs w:val="21"/>
              </w:rPr>
              <w:t>切险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78" w:hRule="exact"/>
          <w:jc w:val="center"/>
        </w:trPr>
        <w:tc>
          <w:tcPr>
            <w:tcW w:w="567" w:type="dxa"/>
            <w:vAlign w:val="center"/>
          </w:tcPr>
          <w:p>
            <w:pPr>
              <w:pStyle w:val="28"/>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pPr>
              <w:pStyle w:val="28"/>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pPr>
              <w:pStyle w:val="28"/>
              <w:ind w:left="38"/>
              <w:jc w:val="center"/>
              <w:rPr>
                <w:rFonts w:hint="eastAsia" w:ascii="Times New Roman" w:hAnsi="Times New Roman" w:eastAsia="仿宋" w:cs="Times New Roman"/>
                <w:color w:val="auto"/>
                <w:sz w:val="21"/>
                <w:szCs w:val="21"/>
                <w:lang w:val="zh-CN"/>
              </w:rPr>
            </w:pPr>
          </w:p>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rPr>
              <w:t>路线主线长 6.579 公里，本项目全线采用三级公路技术标准，路面采用沥青混凝土路面，设计速度 30km/h,路基宽度 7.5m,在确保安全的情况下，局部困难路段灵活运用技术指标。建设规模范围内的涉及路基、路面、安全设施及预埋管线、绿化及环境保护设施等全部工程项目及安保工程等附属设施。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152000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壹拾伍万贰仟元整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FF0000"/>
          <w:szCs w:val="21"/>
          <w:u w:val="single"/>
          <w:lang w:val="en-US" w:eastAsia="zh-CN"/>
        </w:rPr>
        <w:t>/</w:t>
      </w:r>
      <w:r>
        <w:rPr>
          <w:rFonts w:hint="default" w:ascii="Times New Roman" w:hAnsi="Times New Roman" w:eastAsia="仿宋" w:cs="Times New Roman"/>
          <w:color w:val="auto"/>
          <w:szCs w:val="21"/>
          <w:u w:val="single"/>
        </w:rPr>
        <w:t>。</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2"/>
        <w:tblpPr w:leftFromText="180" w:rightFromText="180" w:vertAnchor="text" w:horzAnchor="page" w:tblpX="1542" w:tblpY="171"/>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65"/>
        <w:gridCol w:w="1896"/>
        <w:gridCol w:w="845"/>
        <w:gridCol w:w="641"/>
        <w:gridCol w:w="1146"/>
        <w:gridCol w:w="1241"/>
        <w:gridCol w:w="12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1365"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8"/>
                <w:szCs w:val="28"/>
              </w:rPr>
              <w:t>主要实施范围</w:t>
            </w:r>
          </w:p>
        </w:tc>
        <w:tc>
          <w:tcPr>
            <w:tcW w:w="845" w:type="dxa"/>
            <w:vAlign w:val="center"/>
          </w:tcPr>
          <w:p>
            <w:pPr>
              <w:widowControl/>
              <w:jc w:val="center"/>
              <w:textAlignment w:val="center"/>
              <w:rPr>
                <w:rFonts w:ascii="Times New Roman" w:hAnsi="Times New Roman" w:eastAsia="仿宋" w:cs="Times New Roman"/>
                <w:kern w:val="0"/>
                <w:sz w:val="22"/>
                <w:lang w:bidi="ar"/>
              </w:rPr>
            </w:pPr>
            <w:r>
              <w:rPr>
                <w:rFonts w:hint="eastAsia" w:ascii="Times New Roman" w:hAnsi="Times New Roman" w:eastAsia="仿宋" w:cs="Times New Roman"/>
                <w:sz w:val="24"/>
                <w:szCs w:val="24"/>
                <w:lang w:val="en-US" w:eastAsia="zh-CN"/>
              </w:rPr>
              <w:t>数量</w:t>
            </w:r>
          </w:p>
        </w:tc>
        <w:tc>
          <w:tcPr>
            <w:tcW w:w="641"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单位</w:t>
            </w:r>
          </w:p>
        </w:tc>
        <w:tc>
          <w:tcPr>
            <w:tcW w:w="1146" w:type="dxa"/>
            <w:vAlign w:val="center"/>
          </w:tcPr>
          <w:p>
            <w:pPr>
              <w:widowControl/>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控制价</w:t>
            </w:r>
          </w:p>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241"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c>
          <w:tcPr>
            <w:tcW w:w="12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7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1365"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color w:val="auto"/>
                <w:szCs w:val="21"/>
                <w:lang w:val="en-US" w:eastAsia="zh-CN"/>
              </w:rPr>
              <w:t>建筑工程</w:t>
            </w:r>
            <w:r>
              <w:rPr>
                <w:rFonts w:hint="default" w:ascii="Times New Roman" w:hAnsi="Times New Roman" w:eastAsia="仿宋" w:cs="Times New Roman"/>
                <w:color w:val="auto"/>
                <w:szCs w:val="21"/>
                <w:lang w:val="en-US" w:eastAsia="zh-CN"/>
              </w:rPr>
              <w:t>一</w:t>
            </w:r>
            <w:r>
              <w:rPr>
                <w:rFonts w:hint="default" w:ascii="Times New Roman" w:hAnsi="Times New Roman" w:eastAsia="仿宋" w:cs="Times New Roman"/>
                <w:color w:val="auto"/>
                <w:szCs w:val="21"/>
              </w:rPr>
              <w:t>切险</w:t>
            </w: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color w:val="auto"/>
                <w:szCs w:val="21"/>
              </w:rPr>
              <w:t>合江县甘竹路（甘雨至石龙段）改建工程</w:t>
            </w:r>
          </w:p>
        </w:tc>
        <w:tc>
          <w:tcPr>
            <w:tcW w:w="845" w:type="dxa"/>
            <w:vAlign w:val="center"/>
          </w:tcPr>
          <w:p>
            <w:pPr>
              <w:widowControl/>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641"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Times New Roman" w:hAnsi="Times New Roman" w:eastAsia="仿宋" w:cs="Times New Roman"/>
                <w:sz w:val="24"/>
                <w:szCs w:val="24"/>
                <w:lang w:val="en-US" w:eastAsia="zh-CN"/>
              </w:rPr>
              <w:t>项</w:t>
            </w:r>
          </w:p>
        </w:tc>
        <w:tc>
          <w:tcPr>
            <w:tcW w:w="1146" w:type="dxa"/>
            <w:vAlign w:val="center"/>
          </w:tcPr>
          <w:p>
            <w:pPr>
              <w:widowControl/>
              <w:jc w:val="center"/>
              <w:textAlignment w:val="center"/>
              <w:rPr>
                <w:rFonts w:hint="default" w:ascii="仿宋" w:hAnsi="仿宋" w:eastAsia="仿宋" w:cs="仿宋"/>
                <w:sz w:val="24"/>
                <w:lang w:val="en-US"/>
              </w:rPr>
            </w:pPr>
            <w:r>
              <w:rPr>
                <w:rFonts w:hint="eastAsia" w:ascii="Times New Roman" w:hAnsi="Times New Roman" w:eastAsia="仿宋" w:cs="Times New Roman"/>
                <w:sz w:val="24"/>
                <w:szCs w:val="24"/>
                <w:lang w:val="en-US" w:eastAsia="zh-CN"/>
              </w:rPr>
              <w:t>152000</w:t>
            </w:r>
          </w:p>
        </w:tc>
        <w:tc>
          <w:tcPr>
            <w:tcW w:w="1241" w:type="dxa"/>
            <w:vAlign w:val="center"/>
          </w:tcPr>
          <w:p>
            <w:pPr>
              <w:keepNext w:val="0"/>
              <w:keepLines w:val="0"/>
              <w:widowControl/>
              <w:suppressLineNumbers w:val="0"/>
              <w:jc w:val="center"/>
              <w:textAlignment w:val="center"/>
              <w:rPr>
                <w:rFonts w:hint="default" w:ascii="Times New Roman" w:hAnsi="Times New Roman" w:cs="Times New Roman"/>
                <w:sz w:val="24"/>
                <w:lang w:val="en-US"/>
              </w:rPr>
            </w:pPr>
            <w:r>
              <w:rPr>
                <w:rFonts w:hint="eastAsia" w:ascii="Times New Roman" w:hAnsi="Times New Roman" w:eastAsia="仿宋" w:cs="Times New Roman"/>
                <w:sz w:val="24"/>
                <w:szCs w:val="24"/>
                <w:lang w:val="en-US" w:eastAsia="zh-CN"/>
              </w:rPr>
              <w:t>15200</w:t>
            </w:r>
            <w:bookmarkStart w:id="22" w:name="_GoBack"/>
            <w:bookmarkEnd w:id="22"/>
            <w:r>
              <w:rPr>
                <w:rFonts w:hint="eastAsia" w:ascii="Times New Roman" w:hAnsi="Times New Roman" w:eastAsia="仿宋" w:cs="Times New Roman"/>
                <w:sz w:val="24"/>
                <w:szCs w:val="24"/>
                <w:lang w:val="en-US" w:eastAsia="zh-CN"/>
              </w:rPr>
              <w:t>0</w:t>
            </w: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1365" w:type="dxa"/>
            <w:vAlign w:val="center"/>
          </w:tcPr>
          <w:p>
            <w:pPr>
              <w:widowControl/>
              <w:jc w:val="center"/>
              <w:textAlignment w:val="center"/>
              <w:rPr>
                <w:rFonts w:ascii="宋体" w:hAnsi="宋体" w:eastAsia="宋体" w:cs="宋体"/>
                <w:color w:val="000000"/>
                <w:sz w:val="22"/>
                <w:szCs w:val="22"/>
              </w:rPr>
            </w:pP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p>
        </w:tc>
        <w:tc>
          <w:tcPr>
            <w:tcW w:w="845" w:type="dxa"/>
            <w:vAlign w:val="center"/>
          </w:tcPr>
          <w:p>
            <w:pPr>
              <w:widowControl/>
              <w:jc w:val="center"/>
              <w:textAlignment w:val="center"/>
              <w:rPr>
                <w:rFonts w:hint="default" w:ascii="仿宋" w:hAnsi="仿宋" w:eastAsia="仿宋" w:cs="仿宋"/>
                <w:sz w:val="24"/>
                <w:lang w:val="en-US"/>
              </w:rPr>
            </w:pPr>
          </w:p>
        </w:tc>
        <w:tc>
          <w:tcPr>
            <w:tcW w:w="641" w:type="dxa"/>
            <w:vAlign w:val="center"/>
          </w:tcPr>
          <w:p>
            <w:pPr>
              <w:widowControl/>
              <w:jc w:val="center"/>
              <w:textAlignment w:val="center"/>
              <w:rPr>
                <w:rFonts w:ascii="宋体" w:hAnsi="宋体" w:eastAsia="宋体" w:cs="宋体"/>
                <w:color w:val="000000"/>
                <w:sz w:val="22"/>
                <w:szCs w:val="22"/>
              </w:rPr>
            </w:pPr>
          </w:p>
        </w:tc>
        <w:tc>
          <w:tcPr>
            <w:tcW w:w="1146" w:type="dxa"/>
            <w:vAlign w:val="center"/>
          </w:tcPr>
          <w:p>
            <w:pPr>
              <w:widowControl/>
              <w:jc w:val="center"/>
              <w:textAlignment w:val="center"/>
              <w:rPr>
                <w:rFonts w:ascii="仿宋" w:hAnsi="仿宋" w:eastAsia="仿宋" w:cs="仿宋"/>
                <w:sz w:val="24"/>
              </w:rPr>
            </w:pPr>
          </w:p>
        </w:tc>
        <w:tc>
          <w:tcPr>
            <w:tcW w:w="1241" w:type="dxa"/>
            <w:vAlign w:val="center"/>
          </w:tcPr>
          <w:p>
            <w:pPr>
              <w:keepNext w:val="0"/>
              <w:keepLines w:val="0"/>
              <w:widowControl/>
              <w:suppressLineNumbers w:val="0"/>
              <w:jc w:val="center"/>
              <w:textAlignment w:val="center"/>
              <w:rPr>
                <w:rFonts w:ascii="Times New Roman" w:hAnsi="Times New Roman" w:cs="Times New Roman"/>
                <w:sz w:val="24"/>
              </w:rPr>
            </w:pP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6" w:type="dxa"/>
            <w:vAlign w:val="center"/>
          </w:tcPr>
          <w:p>
            <w:pPr>
              <w:widowControl/>
              <w:jc w:val="center"/>
              <w:textAlignment w:val="center"/>
              <w:rPr>
                <w:rFonts w:hint="eastAsia" w:ascii="Times New Roman" w:hAnsi="Times New Roman" w:eastAsia="仿宋" w:cs="Times New Roman"/>
                <w:sz w:val="24"/>
                <w:szCs w:val="24"/>
              </w:rPr>
            </w:pPr>
          </w:p>
        </w:tc>
        <w:tc>
          <w:tcPr>
            <w:tcW w:w="5893" w:type="dxa"/>
            <w:gridSpan w:val="5"/>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rPr>
              <w:t>合计（元）</w:t>
            </w:r>
          </w:p>
        </w:tc>
        <w:tc>
          <w:tcPr>
            <w:tcW w:w="1241" w:type="dxa"/>
            <w:vAlign w:val="center"/>
          </w:tcPr>
          <w:p>
            <w:pPr>
              <w:widowControl/>
              <w:jc w:val="center"/>
              <w:textAlignment w:val="center"/>
              <w:rPr>
                <w:rFonts w:hint="default" w:ascii="Times New Roman" w:hAnsi="Times New Roman" w:cs="Times New Roman"/>
                <w:sz w:val="24"/>
                <w:lang w:val="en-US"/>
              </w:rPr>
            </w:pPr>
            <w:r>
              <w:rPr>
                <w:rFonts w:hint="eastAsia" w:ascii="Times New Roman" w:hAnsi="Times New Roman" w:eastAsia="仿宋" w:cs="Times New Roman"/>
                <w:sz w:val="24"/>
                <w:szCs w:val="24"/>
                <w:lang w:val="en-US" w:eastAsia="zh-CN"/>
              </w:rPr>
              <w:t>152000</w:t>
            </w: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1、</w:t>
      </w:r>
      <w:r>
        <w:rPr>
          <w:rFonts w:hint="eastAsia" w:cstheme="minorBidi"/>
          <w:b w:val="0"/>
          <w:bCs w:val="0"/>
          <w:color w:val="000000"/>
          <w:kern w:val="2"/>
          <w:sz w:val="24"/>
          <w:szCs w:val="24"/>
          <w:lang w:val="en-US" w:eastAsia="zh-CN" w:bidi="ar-SA"/>
        </w:rPr>
        <w:t>三者责任限额累计赔偿限额：8000000元，每次事故赔偿限额：4000000元，财产损失每次限额：300000元。人身伤亡每次限额：1000000元，每人每次伤亡限额：1000000元。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2、</w:t>
      </w:r>
      <w:r>
        <w:rPr>
          <w:rFonts w:hint="eastAsia" w:cstheme="minorBidi"/>
          <w:b w:val="0"/>
          <w:bCs w:val="0"/>
          <w:color w:val="000000"/>
          <w:kern w:val="2"/>
          <w:sz w:val="24"/>
          <w:szCs w:val="24"/>
          <w:lang w:val="en-US" w:eastAsia="zh-CN" w:bidi="ar-SA"/>
        </w:rPr>
        <w:t>主险限额：建筑工程一切险及第三者责任险：每次赔偿限额：88000000元，累计责任限额：88000000元。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3、</w:t>
      </w:r>
      <w:r>
        <w:rPr>
          <w:rFonts w:hint="eastAsia" w:cstheme="minorBidi"/>
          <w:b w:val="0"/>
          <w:bCs w:val="0"/>
          <w:color w:val="000000"/>
          <w:kern w:val="2"/>
          <w:sz w:val="24"/>
          <w:szCs w:val="24"/>
          <w:lang w:val="en-US" w:eastAsia="zh-CN" w:bidi="ar-SA"/>
        </w:rPr>
        <w:t>免赔：</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3.1、本保险对地震的物质损失每次事故绝对免赔人民币100000元或损失金额的2%，以高者为准。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3.2、本保险对一般风险的物质损失每次事故绝对免赔人民币10000元或损失金额的2%，以高者为准。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3.3、本保险对特殊风险（指暴风、暴雨、洪水、滑坡、泥石流）的物质损失每次事故绝对免赔人民币10000元或损失金额的2%，以高者为准。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3.4、本保险对第三者财产损失每次事故绝对免赔人民币5000元或损失金额的2%，以高者为准。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4、特别约定：</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4.1、本保单三者伤亡每人每次限额1000000元（其中死亡残疾1000000元、意外医疗100000元）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default" w:ascii="Times New Roman" w:hAnsi="Times New Roman" w:eastAsia="仿宋" w:cs="Times New Roman"/>
          <w:color w:val="auto"/>
          <w:sz w:val="24"/>
          <w:szCs w:val="24"/>
        </w:rPr>
      </w:pPr>
      <w:r>
        <w:rPr>
          <w:rFonts w:hint="eastAsia" w:cstheme="minorBidi"/>
          <w:b w:val="0"/>
          <w:bCs w:val="0"/>
          <w:color w:val="000000"/>
          <w:kern w:val="2"/>
          <w:sz w:val="24"/>
          <w:szCs w:val="24"/>
          <w:lang w:val="en-US" w:eastAsia="zh-CN" w:bidi="ar-SA"/>
        </w:rPr>
        <w:t xml:space="preserve">4.2、本保单不承保绿植责任。 </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 w:cs="Times New Roman"/>
          <w:b/>
          <w:bCs/>
          <w:color w:val="auto"/>
          <w:sz w:val="32"/>
          <w:szCs w:val="32"/>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 w:cs="Times New Roman"/>
          <w:b/>
          <w:bCs/>
          <w:color w:val="auto"/>
          <w:sz w:val="32"/>
          <w:szCs w:val="32"/>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both"/>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18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26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0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8045"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
    <w:p/>
    <w:p/>
    <w:p/>
    <w:p>
      <w:pPr>
        <w:jc w:val="center"/>
        <w:rPr>
          <w:rFonts w:hint="default" w:ascii="Times New Roman" w:hAnsi="Times New Roman" w:eastAsia="仿宋" w:cs="Times New Roman"/>
          <w:color w:val="auto"/>
        </w:rPr>
      </w:pPr>
      <w:bookmarkStart w:id="15" w:name="_Toc21698"/>
      <w:bookmarkStart w:id="16" w:name="_Toc31016"/>
      <w:r>
        <w:rPr>
          <w:rStyle w:val="38"/>
          <w:rFonts w:hint="default" w:ascii="Times New Roman" w:hAnsi="Times New Roman" w:eastAsia="仿宋" w:cs="Times New Roman"/>
          <w:color w:val="auto"/>
          <w:sz w:val="32"/>
          <w:szCs w:val="32"/>
        </w:rPr>
        <w:t>第</w:t>
      </w:r>
      <w:r>
        <w:rPr>
          <w:rStyle w:val="38"/>
          <w:rFonts w:hint="eastAsia" w:ascii="Times New Roman" w:hAnsi="Times New Roman" w:eastAsia="仿宋" w:cs="Times New Roman"/>
          <w:color w:val="auto"/>
          <w:sz w:val="32"/>
          <w:szCs w:val="32"/>
          <w:lang w:val="en-US" w:eastAsia="zh-CN"/>
        </w:rPr>
        <w:t>四</w:t>
      </w:r>
      <w:r>
        <w:rPr>
          <w:rStyle w:val="38"/>
          <w:rFonts w:hint="default" w:ascii="Times New Roman" w:hAnsi="Times New Roman" w:eastAsia="仿宋" w:cs="Times New Roman"/>
          <w:color w:val="auto"/>
          <w:sz w:val="32"/>
          <w:szCs w:val="32"/>
        </w:rPr>
        <w:t>章 响应文件格式</w:t>
      </w:r>
      <w:bookmarkEnd w:id="15"/>
      <w:bookmarkEnd w:id="16"/>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pPr>
        <w:pStyle w:val="3"/>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4"/>
          <w:szCs w:val="24"/>
        </w:rPr>
        <w:t>报价清单</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3"/>
        <w:spacing w:line="360" w:lineRule="auto"/>
        <w:jc w:val="center"/>
        <w:rPr>
          <w:rFonts w:hint="eastAsia" w:ascii="方正小标宋简体" w:hAnsi="方正小标宋简体" w:eastAsia="方正小标宋简体" w:cs="方正小标宋简体"/>
          <w:color w:val="auto"/>
          <w:sz w:val="24"/>
          <w:szCs w:val="24"/>
        </w:rPr>
      </w:pPr>
      <w:bookmarkStart w:id="17" w:name="_Toc15603"/>
      <w:bookmarkStart w:id="18" w:name="_Toc2126"/>
      <w:bookmarkStart w:id="19" w:name="_Toc27003"/>
      <w:bookmarkStart w:id="20" w:name="_Toc4838"/>
      <w:bookmarkStart w:id="21" w:name="_Toc8041"/>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1542" w:tblpY="171"/>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65"/>
        <w:gridCol w:w="1950"/>
        <w:gridCol w:w="845"/>
        <w:gridCol w:w="838"/>
        <w:gridCol w:w="130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1365"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1950" w:type="dxa"/>
            <w:vAlign w:val="center"/>
          </w:tcPr>
          <w:p>
            <w:pPr>
              <w:widowControl/>
              <w:jc w:val="center"/>
              <w:textAlignment w:val="center"/>
              <w:rPr>
                <w:rFonts w:ascii="Times New Roman" w:hAnsi="Times New Roman" w:eastAsia="仿宋" w:cs="Times New Roman"/>
                <w:kern w:val="0"/>
                <w:sz w:val="22"/>
                <w:lang w:bidi="ar"/>
              </w:rPr>
            </w:pPr>
            <w:r>
              <w:rPr>
                <w:rFonts w:hint="default" w:ascii="Times New Roman" w:hAnsi="Times New Roman" w:eastAsia="仿宋" w:cs="Times New Roman"/>
                <w:sz w:val="28"/>
                <w:szCs w:val="28"/>
              </w:rPr>
              <w:t>主要实施范围</w:t>
            </w:r>
          </w:p>
        </w:tc>
        <w:tc>
          <w:tcPr>
            <w:tcW w:w="845"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数量</w:t>
            </w:r>
          </w:p>
        </w:tc>
        <w:tc>
          <w:tcPr>
            <w:tcW w:w="838" w:type="dxa"/>
            <w:vAlign w:val="center"/>
          </w:tcPr>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单位</w:t>
            </w:r>
          </w:p>
        </w:tc>
        <w:tc>
          <w:tcPr>
            <w:tcW w:w="1303"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637"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1365"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color w:val="auto"/>
                <w:szCs w:val="21"/>
                <w:lang w:val="en-US" w:eastAsia="zh-CN"/>
              </w:rPr>
              <w:t>建筑工程</w:t>
            </w:r>
            <w:r>
              <w:rPr>
                <w:rFonts w:hint="default" w:ascii="Times New Roman" w:hAnsi="Times New Roman" w:eastAsia="仿宋" w:cs="Times New Roman"/>
                <w:color w:val="auto"/>
                <w:szCs w:val="21"/>
                <w:lang w:val="en-US" w:eastAsia="zh-CN"/>
              </w:rPr>
              <w:t>一</w:t>
            </w:r>
            <w:r>
              <w:rPr>
                <w:rFonts w:hint="default" w:ascii="Times New Roman" w:hAnsi="Times New Roman" w:eastAsia="仿宋" w:cs="Times New Roman"/>
                <w:color w:val="auto"/>
                <w:szCs w:val="21"/>
              </w:rPr>
              <w:t>切险</w:t>
            </w:r>
          </w:p>
        </w:tc>
        <w:tc>
          <w:tcPr>
            <w:tcW w:w="1950" w:type="dxa"/>
            <w:vAlign w:val="center"/>
          </w:tcPr>
          <w:p>
            <w:pPr>
              <w:widowControl/>
              <w:jc w:val="center"/>
              <w:textAlignment w:val="center"/>
              <w:rPr>
                <w:rFonts w:hint="eastAsia" w:ascii="仿宋" w:hAnsi="仿宋" w:eastAsia="仿宋" w:cs="仿宋"/>
                <w:sz w:val="24"/>
                <w:lang w:val="en-US" w:eastAsia="zh-CN"/>
              </w:rPr>
            </w:pPr>
            <w:r>
              <w:rPr>
                <w:rFonts w:hint="default" w:ascii="Times New Roman" w:hAnsi="Times New Roman" w:eastAsia="仿宋" w:cs="Times New Roman"/>
                <w:color w:val="auto"/>
                <w:szCs w:val="21"/>
              </w:rPr>
              <w:t>合江县甘竹路（甘雨至石龙段）改建工程</w:t>
            </w:r>
          </w:p>
        </w:tc>
        <w:tc>
          <w:tcPr>
            <w:tcW w:w="845"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仿宋" w:hAnsi="仿宋" w:eastAsia="仿宋" w:cs="仿宋"/>
                <w:sz w:val="24"/>
                <w:lang w:val="en-US" w:eastAsia="zh-CN"/>
              </w:rPr>
              <w:t>1</w:t>
            </w:r>
          </w:p>
        </w:tc>
        <w:tc>
          <w:tcPr>
            <w:tcW w:w="838" w:type="dxa"/>
            <w:vAlign w:val="center"/>
          </w:tcPr>
          <w:p>
            <w:pPr>
              <w:widowControl/>
              <w:jc w:val="center"/>
              <w:textAlignment w:val="center"/>
              <w:rPr>
                <w:rFonts w:hint="default" w:ascii="仿宋" w:hAnsi="仿宋" w:eastAsia="仿宋" w:cs="仿宋"/>
                <w:sz w:val="24"/>
                <w:lang w:val="en-US"/>
              </w:rPr>
            </w:pPr>
            <w:r>
              <w:rPr>
                <w:rFonts w:hint="eastAsia" w:ascii="Times New Roman" w:hAnsi="Times New Roman" w:eastAsia="仿宋" w:cs="Times New Roman"/>
                <w:sz w:val="24"/>
                <w:szCs w:val="24"/>
                <w:lang w:val="en-US" w:eastAsia="zh-CN"/>
              </w:rPr>
              <w:t>项</w:t>
            </w:r>
          </w:p>
        </w:tc>
        <w:tc>
          <w:tcPr>
            <w:tcW w:w="1303" w:type="dxa"/>
            <w:vAlign w:val="center"/>
          </w:tcPr>
          <w:p>
            <w:pPr>
              <w:widowControl/>
              <w:jc w:val="center"/>
              <w:textAlignment w:val="center"/>
              <w:rPr>
                <w:rFonts w:hint="default" w:ascii="Times New Roman" w:hAnsi="Times New Roman" w:cs="Times New Roman"/>
                <w:sz w:val="24"/>
                <w:lang w:val="en-US"/>
              </w:rPr>
            </w:pPr>
          </w:p>
        </w:tc>
        <w:tc>
          <w:tcPr>
            <w:tcW w:w="1637" w:type="dxa"/>
            <w:vAlign w:val="center"/>
          </w:tcPr>
          <w:p>
            <w:pPr>
              <w:keepNext w:val="0"/>
              <w:keepLines w:val="0"/>
              <w:widowControl/>
              <w:suppressLineNumbers w:val="0"/>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1365" w:type="dxa"/>
            <w:vAlign w:val="center"/>
          </w:tcPr>
          <w:p>
            <w:pPr>
              <w:widowControl/>
              <w:jc w:val="center"/>
              <w:textAlignment w:val="center"/>
              <w:rPr>
                <w:rFonts w:ascii="宋体" w:hAnsi="宋体" w:eastAsia="宋体" w:cs="宋体"/>
                <w:color w:val="000000"/>
                <w:sz w:val="22"/>
                <w:szCs w:val="22"/>
              </w:rPr>
            </w:pPr>
          </w:p>
        </w:tc>
        <w:tc>
          <w:tcPr>
            <w:tcW w:w="1950" w:type="dxa"/>
            <w:vAlign w:val="center"/>
          </w:tcPr>
          <w:p>
            <w:pPr>
              <w:widowControl/>
              <w:jc w:val="center"/>
              <w:textAlignment w:val="center"/>
              <w:rPr>
                <w:rFonts w:hint="default" w:ascii="仿宋" w:hAnsi="仿宋" w:eastAsia="仿宋" w:cs="仿宋"/>
                <w:sz w:val="24"/>
                <w:lang w:val="en-US"/>
              </w:rPr>
            </w:pPr>
          </w:p>
        </w:tc>
        <w:tc>
          <w:tcPr>
            <w:tcW w:w="845" w:type="dxa"/>
            <w:vAlign w:val="center"/>
          </w:tcPr>
          <w:p>
            <w:pPr>
              <w:widowControl/>
              <w:jc w:val="center"/>
              <w:textAlignment w:val="center"/>
              <w:rPr>
                <w:rFonts w:ascii="宋体" w:hAnsi="宋体" w:eastAsia="宋体" w:cs="宋体"/>
                <w:color w:val="000000"/>
                <w:sz w:val="22"/>
                <w:szCs w:val="22"/>
              </w:rPr>
            </w:pPr>
          </w:p>
        </w:tc>
        <w:tc>
          <w:tcPr>
            <w:tcW w:w="838" w:type="dxa"/>
            <w:vAlign w:val="center"/>
          </w:tcPr>
          <w:p>
            <w:pPr>
              <w:widowControl/>
              <w:jc w:val="center"/>
              <w:textAlignment w:val="center"/>
              <w:rPr>
                <w:rFonts w:ascii="仿宋" w:hAnsi="仿宋" w:eastAsia="仿宋" w:cs="仿宋"/>
                <w:sz w:val="24"/>
              </w:rPr>
            </w:pPr>
          </w:p>
        </w:tc>
        <w:tc>
          <w:tcPr>
            <w:tcW w:w="1303" w:type="dxa"/>
            <w:vAlign w:val="center"/>
          </w:tcPr>
          <w:p>
            <w:pPr>
              <w:widowControl/>
              <w:jc w:val="center"/>
              <w:textAlignment w:val="center"/>
              <w:rPr>
                <w:rFonts w:ascii="Times New Roman" w:hAnsi="Times New Roman" w:cs="Times New Roman"/>
                <w:sz w:val="24"/>
              </w:rPr>
            </w:pPr>
          </w:p>
        </w:tc>
        <w:tc>
          <w:tcPr>
            <w:tcW w:w="1637" w:type="dxa"/>
            <w:vAlign w:val="center"/>
          </w:tcPr>
          <w:p>
            <w:pPr>
              <w:keepNext w:val="0"/>
              <w:keepLines w:val="0"/>
              <w:widowControl/>
              <w:suppressLineNumbers w:val="0"/>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6" w:type="dxa"/>
            <w:vAlign w:val="center"/>
          </w:tcPr>
          <w:p>
            <w:pPr>
              <w:widowControl/>
              <w:jc w:val="center"/>
              <w:textAlignment w:val="center"/>
              <w:rPr>
                <w:rFonts w:hint="eastAsia" w:ascii="Times New Roman" w:hAnsi="Times New Roman" w:eastAsia="仿宋" w:cs="Times New Roman"/>
                <w:sz w:val="24"/>
                <w:szCs w:val="24"/>
                <w:lang w:val="en-US" w:eastAsia="zh-CN"/>
              </w:rPr>
            </w:pPr>
          </w:p>
        </w:tc>
        <w:tc>
          <w:tcPr>
            <w:tcW w:w="6301" w:type="dxa"/>
            <w:gridSpan w:val="5"/>
            <w:vAlign w:val="center"/>
          </w:tcPr>
          <w:p>
            <w:pPr>
              <w:widowControl/>
              <w:jc w:val="center"/>
              <w:textAlignment w:val="center"/>
              <w:rPr>
                <w:rFonts w:hint="default" w:ascii="Times New Roman" w:hAnsi="Times New Roman" w:cs="Times New Roman"/>
                <w:sz w:val="24"/>
                <w:lang w:val="en-US"/>
              </w:rPr>
            </w:pPr>
            <w:r>
              <w:rPr>
                <w:rFonts w:hint="eastAsia" w:ascii="Times New Roman" w:hAnsi="Times New Roman" w:eastAsia="仿宋" w:cs="Times New Roman"/>
                <w:sz w:val="24"/>
                <w:szCs w:val="24"/>
              </w:rPr>
              <w:t>合计（元）</w:t>
            </w:r>
          </w:p>
        </w:tc>
        <w:tc>
          <w:tcPr>
            <w:tcW w:w="1637" w:type="dxa"/>
            <w:vAlign w:val="center"/>
          </w:tcPr>
          <w:p>
            <w:pPr>
              <w:widowControl/>
              <w:jc w:val="center"/>
              <w:textAlignment w:val="center"/>
              <w:rPr>
                <w:rFonts w:ascii="Times New Roman" w:hAnsi="Times New Roman" w:cs="Times New Roman"/>
                <w:sz w:val="24"/>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1</w:t>
      </w:r>
      <w:r>
        <w:rPr>
          <w:rFonts w:hint="eastAsia" w:asciiTheme="minorHAnsi" w:hAnsiTheme="minorHAnsi" w:eastAsiaTheme="minorEastAsia" w:cstheme="minorBidi"/>
          <w:b w:val="0"/>
          <w:bCs w:val="0"/>
          <w:color w:val="000000"/>
          <w:kern w:val="2"/>
          <w:sz w:val="24"/>
          <w:szCs w:val="24"/>
          <w:lang w:val="en-US" w:eastAsia="zh-CN" w:bidi="ar-SA"/>
        </w:rPr>
        <w:t>、</w:t>
      </w:r>
      <w:r>
        <w:rPr>
          <w:rFonts w:hint="eastAsia" w:cstheme="minorBidi"/>
          <w:b w:val="0"/>
          <w:bCs w:val="0"/>
          <w:color w:val="000000"/>
          <w:kern w:val="2"/>
          <w:sz w:val="24"/>
          <w:szCs w:val="24"/>
          <w:lang w:val="en-US" w:eastAsia="zh-CN" w:bidi="ar-SA"/>
        </w:rPr>
        <w:t>三者责任限额累计赔偿限额：8000000元，每次事故赔偿限额：4000000元，财产损失每次限额：300000元。人身伤亡每次限额：1000000元，每人每次伤亡限额：1000000元。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2、</w:t>
      </w:r>
      <w:r>
        <w:rPr>
          <w:rFonts w:hint="eastAsia" w:cstheme="minorBidi"/>
          <w:b w:val="0"/>
          <w:bCs w:val="0"/>
          <w:color w:val="000000"/>
          <w:kern w:val="2"/>
          <w:sz w:val="24"/>
          <w:szCs w:val="24"/>
          <w:lang w:val="en-US" w:eastAsia="zh-CN" w:bidi="ar-SA"/>
        </w:rPr>
        <w:t>主险限额：建筑工程一切险及第三者责任险：每次赔偿限额：88000000元，累计责任限额：88000000元。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3、</w:t>
      </w:r>
      <w:r>
        <w:rPr>
          <w:rFonts w:hint="eastAsia" w:cstheme="minorBidi"/>
          <w:b w:val="0"/>
          <w:bCs w:val="0"/>
          <w:color w:val="000000"/>
          <w:kern w:val="2"/>
          <w:sz w:val="24"/>
          <w:szCs w:val="24"/>
          <w:lang w:val="en-US" w:eastAsia="zh-CN" w:bidi="ar-SA"/>
        </w:rPr>
        <w:t>免赔：</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3.1、本保险对地震的物质损失每次事故绝对免赔人民币100000元或损失金额的2%，以高者为准。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3.2、本保险对一般风险的物质损失每次事故绝对免赔人民币10000元或损失金额的2%，以高者为准。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3.3、本保险对特殊风险（指暴风、暴雨、洪水、滑坡、泥石流）的物质损失每次事故绝对免赔人民币10000元或损失金额的2%，以高者为准。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3.4、本保险对第三者财产损失每次事故绝对免赔人民币5000元或损失金额的2%，以高者为准。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4、特别约定：</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4.1、本保单三者伤亡每人每次限额1000000元（其中死亡残疾1000000元、意外医疗100000元）</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4.2、本保单不承保绿植责任。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4.3、各单项报价不得高于采购清单各单项控制价，超过各单项控制价将作为无效报价。</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default"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spacing w:line="336" w:lineRule="auto"/>
        <w:jc w:val="center"/>
        <w:rPr>
          <w:rFonts w:hint="eastAsia" w:ascii="方正小标宋简体" w:hAnsi="方正小标宋简体" w:eastAsia="方正小标宋简体" w:cs="方正小标宋简体"/>
          <w:color w:val="auto"/>
          <w:sz w:val="24"/>
          <w:szCs w:val="24"/>
        </w:rPr>
      </w:pPr>
    </w:p>
    <w:bookmarkEnd w:id="17"/>
    <w:bookmarkEnd w:id="18"/>
    <w:bookmarkEnd w:id="19"/>
    <w:bookmarkEnd w:id="20"/>
    <w:bookmarkEnd w:id="21"/>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、其他内容</w:t>
      </w:r>
    </w:p>
    <w:p>
      <w:pPr>
        <w:pStyle w:val="5"/>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五</w:t>
      </w:r>
      <w:r>
        <w:rPr>
          <w:rFonts w:hint="default" w:ascii="Times New Roman" w:hAnsi="Times New Roman" w:eastAsia="仿宋" w:cs="Times New Roman"/>
          <w:b/>
          <w:color w:val="auto"/>
          <w:sz w:val="24"/>
          <w:szCs w:val="24"/>
        </w:rPr>
        <w:t>、承诺函</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5"/>
        <w:rPr>
          <w:rFonts w:hint="default" w:ascii="Times New Roman" w:hAnsi="Times New Roman" w:eastAsia="仿宋" w:cs="Times New Roman"/>
          <w:color w:val="auto"/>
        </w:rPr>
      </w:pPr>
    </w:p>
    <w:p>
      <w:pPr>
        <w:pStyle w:val="5"/>
        <w:spacing w:line="360" w:lineRule="auto"/>
        <w:ind w:firstLineChars="200"/>
        <w:rPr>
          <w:rFonts w:hint="default" w:ascii="Times New Roman" w:hAnsi="Times New Roman" w:eastAsia="仿宋" w:cs="Times New Roman"/>
          <w:color w:val="auto"/>
          <w:szCs w:val="21"/>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pStyle w:val="5"/>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val="en-US" w:eastAsia="zh-CN"/>
      </w:rPr>
    </w:pPr>
    <w:r>
      <w:rPr>
        <w:rFonts w:hint="eastAsia"/>
        <w:lang w:val="en-US" w:eastAsia="zh-CN"/>
      </w:rPr>
      <w:t xml:space="preserve">     </w:t>
    </w:r>
  </w:p>
  <w:p>
    <w:pPr>
      <w:pStyle w:val="8"/>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ODc1YTFkYTkzMDRhNzNiOGRlZjQ3ODAwZDhlM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952959"/>
    <w:rsid w:val="06985201"/>
    <w:rsid w:val="06D0465A"/>
    <w:rsid w:val="079B4333"/>
    <w:rsid w:val="080C64C9"/>
    <w:rsid w:val="093F6E5D"/>
    <w:rsid w:val="094916C9"/>
    <w:rsid w:val="09B23C11"/>
    <w:rsid w:val="09D07158"/>
    <w:rsid w:val="0A4C1970"/>
    <w:rsid w:val="0A8A693C"/>
    <w:rsid w:val="0B0D487A"/>
    <w:rsid w:val="0B1170BE"/>
    <w:rsid w:val="0B931457"/>
    <w:rsid w:val="0BD936D7"/>
    <w:rsid w:val="0CC1292A"/>
    <w:rsid w:val="0DD2765F"/>
    <w:rsid w:val="0DDA5F42"/>
    <w:rsid w:val="0DF21285"/>
    <w:rsid w:val="0E14409A"/>
    <w:rsid w:val="0E243AED"/>
    <w:rsid w:val="0E9525A3"/>
    <w:rsid w:val="0EA47758"/>
    <w:rsid w:val="0F852FE9"/>
    <w:rsid w:val="0FA35E5A"/>
    <w:rsid w:val="0FE93165"/>
    <w:rsid w:val="11E861DD"/>
    <w:rsid w:val="129E11D6"/>
    <w:rsid w:val="13F671BD"/>
    <w:rsid w:val="140F1289"/>
    <w:rsid w:val="143F2C26"/>
    <w:rsid w:val="153E58EA"/>
    <w:rsid w:val="165158B3"/>
    <w:rsid w:val="16592F27"/>
    <w:rsid w:val="176E0DFF"/>
    <w:rsid w:val="17877C80"/>
    <w:rsid w:val="17FE6356"/>
    <w:rsid w:val="1907628E"/>
    <w:rsid w:val="193C2B6F"/>
    <w:rsid w:val="19AB2A69"/>
    <w:rsid w:val="1A3B162B"/>
    <w:rsid w:val="1A91517D"/>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F66FEC"/>
    <w:rsid w:val="2181344C"/>
    <w:rsid w:val="222D6611"/>
    <w:rsid w:val="222F1A1F"/>
    <w:rsid w:val="22F6796A"/>
    <w:rsid w:val="248B4C18"/>
    <w:rsid w:val="24A52D69"/>
    <w:rsid w:val="24F92A2C"/>
    <w:rsid w:val="25180487"/>
    <w:rsid w:val="26445799"/>
    <w:rsid w:val="266E34AE"/>
    <w:rsid w:val="26C80178"/>
    <w:rsid w:val="272E4D9F"/>
    <w:rsid w:val="27E334E4"/>
    <w:rsid w:val="280003F5"/>
    <w:rsid w:val="29222E5B"/>
    <w:rsid w:val="29915199"/>
    <w:rsid w:val="29A654C5"/>
    <w:rsid w:val="29D532D8"/>
    <w:rsid w:val="2A166596"/>
    <w:rsid w:val="2A49687B"/>
    <w:rsid w:val="2A6A6763"/>
    <w:rsid w:val="2CB77362"/>
    <w:rsid w:val="2E2508DD"/>
    <w:rsid w:val="2E9F3FBA"/>
    <w:rsid w:val="2F5E78CC"/>
    <w:rsid w:val="30DF09C4"/>
    <w:rsid w:val="315129B8"/>
    <w:rsid w:val="31792031"/>
    <w:rsid w:val="31920B76"/>
    <w:rsid w:val="330D43D7"/>
    <w:rsid w:val="33810EEB"/>
    <w:rsid w:val="35221A85"/>
    <w:rsid w:val="357F0A2E"/>
    <w:rsid w:val="35F04E8D"/>
    <w:rsid w:val="36624145"/>
    <w:rsid w:val="37653011"/>
    <w:rsid w:val="38FA2D16"/>
    <w:rsid w:val="392431AB"/>
    <w:rsid w:val="39292CF8"/>
    <w:rsid w:val="39874E3F"/>
    <w:rsid w:val="3B6D3E63"/>
    <w:rsid w:val="3BA33B10"/>
    <w:rsid w:val="3BB053C8"/>
    <w:rsid w:val="3CAD07EE"/>
    <w:rsid w:val="3CFE4AEE"/>
    <w:rsid w:val="3D086084"/>
    <w:rsid w:val="3D1244A5"/>
    <w:rsid w:val="3DA91236"/>
    <w:rsid w:val="3E321216"/>
    <w:rsid w:val="3EEA75C0"/>
    <w:rsid w:val="3F4E4D93"/>
    <w:rsid w:val="40153FD6"/>
    <w:rsid w:val="40642695"/>
    <w:rsid w:val="40831CAD"/>
    <w:rsid w:val="40F4048C"/>
    <w:rsid w:val="43A22D23"/>
    <w:rsid w:val="44466837"/>
    <w:rsid w:val="444E2AF3"/>
    <w:rsid w:val="45644F82"/>
    <w:rsid w:val="465D115C"/>
    <w:rsid w:val="468B17B6"/>
    <w:rsid w:val="46A16936"/>
    <w:rsid w:val="47043556"/>
    <w:rsid w:val="47596E9F"/>
    <w:rsid w:val="48B87BF5"/>
    <w:rsid w:val="48B972F3"/>
    <w:rsid w:val="4A6A6325"/>
    <w:rsid w:val="4AA03036"/>
    <w:rsid w:val="4AEA6060"/>
    <w:rsid w:val="4AF40C8C"/>
    <w:rsid w:val="4BA02BF8"/>
    <w:rsid w:val="4C405D8D"/>
    <w:rsid w:val="4C570EAE"/>
    <w:rsid w:val="4C8D1B15"/>
    <w:rsid w:val="4CCD7A4E"/>
    <w:rsid w:val="4CF8129A"/>
    <w:rsid w:val="4E3572A5"/>
    <w:rsid w:val="4EEE4370"/>
    <w:rsid w:val="4F9E7724"/>
    <w:rsid w:val="4FB63413"/>
    <w:rsid w:val="504532B1"/>
    <w:rsid w:val="50BD4008"/>
    <w:rsid w:val="514364B2"/>
    <w:rsid w:val="524F3D6B"/>
    <w:rsid w:val="526813EF"/>
    <w:rsid w:val="52967DEE"/>
    <w:rsid w:val="529B69C6"/>
    <w:rsid w:val="53AC0356"/>
    <w:rsid w:val="541C75D3"/>
    <w:rsid w:val="54625F54"/>
    <w:rsid w:val="550F2287"/>
    <w:rsid w:val="551E5284"/>
    <w:rsid w:val="5699471C"/>
    <w:rsid w:val="57217F7A"/>
    <w:rsid w:val="57556FB3"/>
    <w:rsid w:val="577D3BBA"/>
    <w:rsid w:val="586A0CB6"/>
    <w:rsid w:val="59451C4B"/>
    <w:rsid w:val="59E6511E"/>
    <w:rsid w:val="5A606D0E"/>
    <w:rsid w:val="5ADC30C6"/>
    <w:rsid w:val="5BE07737"/>
    <w:rsid w:val="5CF525C4"/>
    <w:rsid w:val="5D5A52C7"/>
    <w:rsid w:val="5E954A0B"/>
    <w:rsid w:val="5EBB7FE7"/>
    <w:rsid w:val="5F105600"/>
    <w:rsid w:val="5F1D5272"/>
    <w:rsid w:val="61357BDD"/>
    <w:rsid w:val="61D13037"/>
    <w:rsid w:val="62AA63A9"/>
    <w:rsid w:val="62D66B54"/>
    <w:rsid w:val="63223BAF"/>
    <w:rsid w:val="65ED6CD8"/>
    <w:rsid w:val="66B8782F"/>
    <w:rsid w:val="6A7A3F8C"/>
    <w:rsid w:val="6B141A74"/>
    <w:rsid w:val="6C114B33"/>
    <w:rsid w:val="6CFC3CA5"/>
    <w:rsid w:val="6D815849"/>
    <w:rsid w:val="6E6239F1"/>
    <w:rsid w:val="6ED44ED9"/>
    <w:rsid w:val="70293003"/>
    <w:rsid w:val="70294DB1"/>
    <w:rsid w:val="70F4419F"/>
    <w:rsid w:val="71F46C51"/>
    <w:rsid w:val="72E15E16"/>
    <w:rsid w:val="73041B05"/>
    <w:rsid w:val="740A335E"/>
    <w:rsid w:val="74426811"/>
    <w:rsid w:val="75377F70"/>
    <w:rsid w:val="75F30556"/>
    <w:rsid w:val="76B626AB"/>
    <w:rsid w:val="77175742"/>
    <w:rsid w:val="772C556A"/>
    <w:rsid w:val="77782495"/>
    <w:rsid w:val="77D70DE3"/>
    <w:rsid w:val="77F24622"/>
    <w:rsid w:val="78794AA1"/>
    <w:rsid w:val="78BB60F7"/>
    <w:rsid w:val="790F7ACD"/>
    <w:rsid w:val="79993162"/>
    <w:rsid w:val="79CF6865"/>
    <w:rsid w:val="7B1544B5"/>
    <w:rsid w:val="7B1B6717"/>
    <w:rsid w:val="7BC97238"/>
    <w:rsid w:val="7C8076E9"/>
    <w:rsid w:val="7D562F5D"/>
    <w:rsid w:val="7DBF1F3F"/>
    <w:rsid w:val="7DEC7AFF"/>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eastAsia="宋体"/>
    </w:rPr>
  </w:style>
  <w:style w:type="paragraph" w:styleId="6">
    <w:name w:val="annotation text"/>
    <w:basedOn w:val="1"/>
    <w:link w:val="30"/>
    <w:qFormat/>
    <w:uiPriority w:val="0"/>
    <w:pPr>
      <w:jc w:val="left"/>
    </w:pPr>
  </w:style>
  <w:style w:type="paragraph" w:styleId="7">
    <w:name w:val="Body Text"/>
    <w:basedOn w:val="1"/>
    <w:next w:val="8"/>
    <w:link w:val="46"/>
    <w:qFormat/>
    <w:uiPriority w:val="0"/>
    <w:pPr>
      <w:spacing w:after="120"/>
    </w:pPr>
  </w:style>
  <w:style w:type="paragraph" w:styleId="8">
    <w:name w:val="Quote"/>
    <w:basedOn w:val="1"/>
    <w:next w:val="1"/>
    <w:link w:val="49"/>
    <w:qFormat/>
    <w:uiPriority w:val="99"/>
    <w:rPr>
      <w:rFonts w:ascii="Calibri" w:hAnsi="Calibri" w:cs="Calibri"/>
      <w:i/>
      <w:iCs/>
      <w:color w:val="000000"/>
      <w:sz w:val="22"/>
    </w:rPr>
  </w:style>
  <w:style w:type="paragraph" w:styleId="9">
    <w:name w:val="Body Text Indent"/>
    <w:basedOn w:val="1"/>
    <w:link w:val="53"/>
    <w:autoRedefine/>
    <w:qFormat/>
    <w:uiPriority w:val="0"/>
    <w:pPr>
      <w:ind w:firstLine="630"/>
    </w:pPr>
    <w:rPr>
      <w:sz w:val="32"/>
      <w:szCs w:val="20"/>
    </w:rPr>
  </w:style>
  <w:style w:type="paragraph" w:styleId="10">
    <w:name w:val="Block Text"/>
    <w:next w:val="1"/>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1"/>
    <w:qFormat/>
    <w:uiPriority w:val="99"/>
    <w:pPr>
      <w:autoSpaceDE w:val="0"/>
      <w:autoSpaceDN w:val="0"/>
      <w:adjustRightInd w:val="0"/>
    </w:pPr>
    <w:rPr>
      <w:rFonts w:ascii="宋体" w:hAnsi="Tms Rmn"/>
      <w:kern w:val="0"/>
      <w:szCs w:val="20"/>
    </w:rPr>
  </w:style>
  <w:style w:type="paragraph" w:styleId="12">
    <w:name w:val="Balloon Text"/>
    <w:basedOn w:val="1"/>
    <w:link w:val="29"/>
    <w:qFormat/>
    <w:uiPriority w:val="0"/>
    <w:rPr>
      <w:sz w:val="18"/>
      <w:szCs w:val="18"/>
    </w:rPr>
  </w:style>
  <w:style w:type="paragraph" w:styleId="13">
    <w:name w:val="footer"/>
    <w:basedOn w:val="1"/>
    <w:next w:val="8"/>
    <w:link w:val="32"/>
    <w:qFormat/>
    <w:uiPriority w:val="0"/>
    <w:pPr>
      <w:tabs>
        <w:tab w:val="center" w:pos="4153"/>
        <w:tab w:val="right" w:pos="8306"/>
      </w:tabs>
      <w:snapToGrid w:val="0"/>
      <w:jc w:val="left"/>
    </w:pPr>
    <w:rPr>
      <w:sz w:val="18"/>
      <w:szCs w:val="20"/>
    </w:rPr>
  </w:style>
  <w:style w:type="paragraph" w:styleId="14">
    <w:name w:val="header"/>
    <w:basedOn w:val="1"/>
    <w:link w:val="52"/>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qFormat/>
    <w:uiPriority w:val="0"/>
    <w:pPr>
      <w:spacing w:beforeAutospacing="1" w:afterAutospacing="1"/>
      <w:jc w:val="left"/>
    </w:pPr>
    <w:rPr>
      <w:rFonts w:cs="Times New Roman"/>
      <w:kern w:val="0"/>
      <w:sz w:val="24"/>
    </w:rPr>
  </w:style>
  <w:style w:type="paragraph" w:styleId="17">
    <w:name w:val="Title"/>
    <w:basedOn w:val="1"/>
    <w:next w:val="1"/>
    <w:link w:val="62"/>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1"/>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9"/>
    <w:link w:val="54"/>
    <w:autoRedefine/>
    <w:unhideWhenUsed/>
    <w:qFormat/>
    <w:uiPriority w:val="99"/>
    <w:pPr>
      <w:ind w:firstLine="420" w:firstLineChars="200"/>
    </w:pPr>
    <w:rPr>
      <w:rFonts w:hint="eastAsia"/>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9">
    <w:name w:val="批注框文本 Char"/>
    <w:basedOn w:val="23"/>
    <w:link w:val="12"/>
    <w:qFormat/>
    <w:uiPriority w:val="0"/>
    <w:rPr>
      <w:rFonts w:asciiTheme="minorHAnsi" w:hAnsiTheme="minorHAnsi" w:eastAsiaTheme="minorEastAsia" w:cstheme="minorBidi"/>
      <w:kern w:val="2"/>
      <w:sz w:val="18"/>
      <w:szCs w:val="18"/>
    </w:rPr>
  </w:style>
  <w:style w:type="character" w:customStyle="1" w:styleId="30">
    <w:name w:val="批注文字 Char"/>
    <w:basedOn w:val="23"/>
    <w:link w:val="6"/>
    <w:qFormat/>
    <w:uiPriority w:val="0"/>
    <w:rPr>
      <w:rFonts w:asciiTheme="minorHAnsi" w:hAnsiTheme="minorHAnsi" w:eastAsiaTheme="minorEastAsia" w:cstheme="minorBidi"/>
      <w:kern w:val="2"/>
      <w:sz w:val="21"/>
      <w:szCs w:val="22"/>
    </w:rPr>
  </w:style>
  <w:style w:type="character" w:customStyle="1" w:styleId="31">
    <w:name w:val="批注主题 Char"/>
    <w:basedOn w:val="30"/>
    <w:link w:val="18"/>
    <w:qFormat/>
    <w:uiPriority w:val="0"/>
    <w:rPr>
      <w:rFonts w:asciiTheme="minorHAnsi" w:hAnsiTheme="minorHAnsi" w:eastAsiaTheme="minorEastAsia" w:cstheme="minorBidi"/>
      <w:b/>
      <w:bCs/>
      <w:kern w:val="2"/>
      <w:sz w:val="21"/>
      <w:szCs w:val="22"/>
    </w:rPr>
  </w:style>
  <w:style w:type="character" w:customStyle="1" w:styleId="32">
    <w:name w:val="页脚 Char"/>
    <w:basedOn w:val="23"/>
    <w:link w:val="13"/>
    <w:autoRedefine/>
    <w:qFormat/>
    <w:uiPriority w:val="0"/>
    <w:rPr>
      <w:rFonts w:asciiTheme="minorHAnsi" w:hAnsiTheme="minorHAnsi" w:eastAsiaTheme="minorEastAsia" w:cstheme="minorBidi"/>
      <w:kern w:val="2"/>
      <w:sz w:val="18"/>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4">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5">
    <w:name w:val="List Paragraph"/>
    <w:basedOn w:val="36"/>
    <w:autoRedefine/>
    <w:qFormat/>
    <w:uiPriority w:val="34"/>
    <w:pPr>
      <w:ind w:firstLine="420" w:firstLineChars="200"/>
    </w:pPr>
  </w:style>
  <w:style w:type="paragraph" w:customStyle="1" w:styleId="36">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WPSOffice手动目录 1"/>
    <w:autoRedefine/>
    <w:qFormat/>
    <w:uiPriority w:val="0"/>
    <w:rPr>
      <w:rFonts w:ascii="Times New Roman" w:hAnsi="Times New Roman" w:eastAsia="宋体" w:cs="Times New Roman"/>
      <w:lang w:val="en-US" w:eastAsia="zh-CN" w:bidi="ar-SA"/>
    </w:rPr>
  </w:style>
  <w:style w:type="character" w:customStyle="1" w:styleId="38">
    <w:name w:val="标题 1 Char"/>
    <w:link w:val="2"/>
    <w:qFormat/>
    <w:uiPriority w:val="0"/>
    <w:rPr>
      <w:b/>
      <w:bCs/>
      <w:kern w:val="44"/>
      <w:sz w:val="44"/>
      <w:szCs w:val="44"/>
    </w:rPr>
  </w:style>
  <w:style w:type="character" w:customStyle="1" w:styleId="39">
    <w:name w:val="font21"/>
    <w:basedOn w:val="23"/>
    <w:qFormat/>
    <w:uiPriority w:val="0"/>
    <w:rPr>
      <w:rFonts w:hint="eastAsia" w:ascii="微软雅黑" w:hAnsi="微软雅黑" w:eastAsia="微软雅黑" w:cs="微软雅黑"/>
      <w:color w:val="000000"/>
      <w:sz w:val="20"/>
      <w:szCs w:val="20"/>
      <w:u w:val="none"/>
    </w:rPr>
  </w:style>
  <w:style w:type="character" w:customStyle="1" w:styleId="40">
    <w:name w:val="font41"/>
    <w:basedOn w:val="23"/>
    <w:qFormat/>
    <w:uiPriority w:val="0"/>
    <w:rPr>
      <w:rFonts w:ascii="Tahoma" w:hAnsi="Tahoma" w:eastAsia="Tahoma" w:cs="Tahoma"/>
      <w:color w:val="000000"/>
      <w:sz w:val="20"/>
      <w:szCs w:val="20"/>
      <w:u w:val="none"/>
    </w:rPr>
  </w:style>
  <w:style w:type="character" w:customStyle="1" w:styleId="41">
    <w:name w:val="font31"/>
    <w:basedOn w:val="23"/>
    <w:autoRedefine/>
    <w:qFormat/>
    <w:uiPriority w:val="0"/>
    <w:rPr>
      <w:rFonts w:hint="eastAsia" w:ascii="宋体" w:hAnsi="宋体" w:eastAsia="宋体" w:cs="宋体"/>
      <w:color w:val="000000"/>
      <w:sz w:val="20"/>
      <w:szCs w:val="20"/>
      <w:u w:val="none"/>
    </w:rPr>
  </w:style>
  <w:style w:type="character" w:customStyle="1" w:styleId="42">
    <w:name w:val="font61"/>
    <w:basedOn w:val="23"/>
    <w:autoRedefine/>
    <w:qFormat/>
    <w:uiPriority w:val="0"/>
    <w:rPr>
      <w:rFonts w:hint="default" w:ascii="Times New Roman" w:hAnsi="Times New Roman" w:cs="Times New Roman"/>
      <w:b/>
      <w:color w:val="000000"/>
      <w:sz w:val="21"/>
      <w:szCs w:val="21"/>
      <w:u w:val="none"/>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5">
    <w:name w:val="font11"/>
    <w:basedOn w:val="23"/>
    <w:autoRedefine/>
    <w:qFormat/>
    <w:uiPriority w:val="0"/>
    <w:rPr>
      <w:rFonts w:hint="default" w:ascii="Times New Roman" w:hAnsi="Times New Roman" w:cs="Times New Roman"/>
      <w:color w:val="000000"/>
      <w:sz w:val="22"/>
      <w:szCs w:val="22"/>
      <w:u w:val="none"/>
    </w:rPr>
  </w:style>
  <w:style w:type="character" w:customStyle="1" w:styleId="46">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7">
    <w:name w:val="标题 2 Char"/>
    <w:basedOn w:val="23"/>
    <w:link w:val="3"/>
    <w:autoRedefine/>
    <w:qFormat/>
    <w:uiPriority w:val="0"/>
    <w:rPr>
      <w:rFonts w:ascii="Arial" w:hAnsi="Arial" w:eastAsia="黑体" w:cstheme="minorBidi"/>
      <w:b/>
      <w:bCs/>
      <w:kern w:val="2"/>
      <w:sz w:val="32"/>
      <w:szCs w:val="32"/>
    </w:rPr>
  </w:style>
  <w:style w:type="character" w:customStyle="1" w:styleId="48">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49">
    <w:name w:val="引用 Char"/>
    <w:basedOn w:val="23"/>
    <w:link w:val="8"/>
    <w:qFormat/>
    <w:uiPriority w:val="99"/>
    <w:rPr>
      <w:rFonts w:ascii="Calibri" w:hAnsi="Calibri" w:cs="Calibri" w:eastAsiaTheme="minorEastAsia"/>
      <w:i/>
      <w:iCs/>
      <w:color w:val="000000"/>
      <w:kern w:val="2"/>
      <w:sz w:val="22"/>
      <w:szCs w:val="22"/>
    </w:rPr>
  </w:style>
  <w:style w:type="character" w:customStyle="1" w:styleId="50">
    <w:name w:val="正文文本缩进 Char"/>
    <w:basedOn w:val="23"/>
    <w:autoRedefine/>
    <w:qFormat/>
    <w:uiPriority w:val="0"/>
    <w:rPr>
      <w:rFonts w:asciiTheme="minorHAnsi" w:hAnsiTheme="minorHAnsi" w:eastAsiaTheme="minorEastAsia" w:cstheme="minorBidi"/>
      <w:kern w:val="2"/>
      <w:sz w:val="32"/>
    </w:rPr>
  </w:style>
  <w:style w:type="character" w:customStyle="1" w:styleId="51">
    <w:name w:val="纯文本 Char"/>
    <w:basedOn w:val="23"/>
    <w:link w:val="11"/>
    <w:qFormat/>
    <w:uiPriority w:val="99"/>
    <w:rPr>
      <w:rFonts w:ascii="宋体" w:hAnsi="Tms Rmn" w:eastAsiaTheme="minorEastAsia" w:cstheme="minorBidi"/>
      <w:sz w:val="21"/>
    </w:rPr>
  </w:style>
  <w:style w:type="character" w:customStyle="1" w:styleId="52">
    <w:name w:val="页眉 Char"/>
    <w:basedOn w:val="23"/>
    <w:link w:val="14"/>
    <w:qFormat/>
    <w:uiPriority w:val="0"/>
    <w:rPr>
      <w:rFonts w:asciiTheme="minorHAnsi" w:hAnsiTheme="minorHAnsi" w:eastAsiaTheme="minorEastAsia" w:cstheme="minorBidi"/>
      <w:kern w:val="2"/>
      <w:sz w:val="18"/>
    </w:rPr>
  </w:style>
  <w:style w:type="character" w:customStyle="1" w:styleId="53">
    <w:name w:val="正文文本缩进 Char1"/>
    <w:basedOn w:val="23"/>
    <w:link w:val="9"/>
    <w:qFormat/>
    <w:uiPriority w:val="0"/>
    <w:rPr>
      <w:rFonts w:asciiTheme="minorHAnsi" w:hAnsiTheme="minorHAnsi" w:eastAsiaTheme="minorEastAsia" w:cstheme="minorBidi"/>
      <w:kern w:val="2"/>
      <w:sz w:val="32"/>
    </w:rPr>
  </w:style>
  <w:style w:type="character" w:customStyle="1" w:styleId="54">
    <w:name w:val="正文首行缩进 2 Char"/>
    <w:basedOn w:val="53"/>
    <w:link w:val="20"/>
    <w:autoRedefine/>
    <w:qFormat/>
    <w:uiPriority w:val="99"/>
    <w:rPr>
      <w:rFonts w:asciiTheme="minorHAnsi" w:hAnsiTheme="minorHAnsi" w:eastAsiaTheme="minorEastAsia" w:cstheme="minorBidi"/>
      <w:kern w:val="2"/>
      <w:sz w:val="32"/>
    </w:rPr>
  </w:style>
  <w:style w:type="paragraph" w:customStyle="1" w:styleId="55">
    <w:name w:val="引用1"/>
    <w:basedOn w:val="1"/>
    <w:next w:val="1"/>
    <w:qFormat/>
    <w:uiPriority w:val="0"/>
    <w:pPr>
      <w:widowControl/>
      <w:spacing w:after="200" w:line="276" w:lineRule="auto"/>
      <w:jc w:val="left"/>
    </w:pPr>
    <w:rPr>
      <w:i/>
      <w:iCs/>
      <w:color w:val="000000"/>
      <w:kern w:val="0"/>
      <w:sz w:val="20"/>
      <w:szCs w:val="20"/>
    </w:rPr>
  </w:style>
  <w:style w:type="paragraph" w:customStyle="1" w:styleId="5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qFormat/>
    <w:uiPriority w:val="0"/>
    <w:rPr>
      <w:rFonts w:cs="Times New Roman"/>
    </w:rPr>
  </w:style>
  <w:style w:type="character" w:customStyle="1" w:styleId="62">
    <w:name w:val="标题 Char"/>
    <w:link w:val="17"/>
    <w:qFormat/>
    <w:uiPriority w:val="0"/>
    <w:rPr>
      <w:rFonts w:ascii="Cambria" w:hAnsi="Cambria" w:cs="Times New Roman"/>
      <w:b/>
      <w:bCs/>
      <w:sz w:val="32"/>
      <w:szCs w:val="32"/>
    </w:rPr>
  </w:style>
  <w:style w:type="character" w:customStyle="1" w:styleId="63">
    <w:name w:val="普通(网站) Char"/>
    <w:link w:val="16"/>
    <w:qFormat/>
    <w:uiPriority w:val="0"/>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6</TotalTime>
  <ScaleCrop>false</ScaleCrop>
  <LinksUpToDate>false</LinksUpToDate>
  <CharactersWithSpaces>55803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2023-09-04T09:58:00Z</cp:lastPrinted>
  <dcterms:modified xsi:type="dcterms:W3CDTF">2023-12-26T03:26:38Z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5558317ED9424F2F9704FD387B06CE37_13</vt:lpwstr>
  </property>
</Properties>
</file>